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FDD" w:rsidRDefault="00EA2FD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A2FDD" w:rsidRDefault="00EA2FD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bookmarkStart w:id="0" w:name="_GoBack"/>
      <w:bookmarkEnd w:id="0"/>
      <w:r w:rsidR="00DA1441">
        <w:rPr>
          <w:rFonts w:cs="Arial"/>
          <w:b/>
          <w:bCs/>
        </w:rPr>
        <w:t>Audit &amp; Governance Committee</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4761D2">
        <w:rPr>
          <w:rFonts w:cs="Arial"/>
          <w:b/>
          <w:bCs/>
        </w:rPr>
        <w:t>01 March</w:t>
      </w:r>
      <w:r w:rsidR="009140B9">
        <w:rPr>
          <w:rFonts w:cs="Arial"/>
          <w:b/>
          <w:bCs/>
        </w:rPr>
        <w:t xml:space="preserve"> </w:t>
      </w:r>
      <w:r w:rsidR="00DA1441">
        <w:rPr>
          <w:rFonts w:cs="Arial"/>
          <w:b/>
          <w:bCs/>
        </w:rPr>
        <w:t>201</w:t>
      </w:r>
      <w:r w:rsidR="004761D2">
        <w:rPr>
          <w:rFonts w:cs="Arial"/>
          <w:b/>
          <w:bCs/>
        </w:rPr>
        <w:t>6</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t xml:space="preserve">Head of </w:t>
      </w:r>
      <w:r w:rsidR="00832739">
        <w:rPr>
          <w:rFonts w:cs="Arial"/>
          <w:b/>
          <w:bCs/>
        </w:rPr>
        <w:t xml:space="preserve">Financial Services </w:t>
      </w:r>
      <w:r>
        <w:rPr>
          <w:rFonts w:cs="Arial"/>
          <w:b/>
          <w:bCs/>
        </w:rPr>
        <w:tab/>
      </w:r>
    </w:p>
    <w:p w:rsidR="00F4367A" w:rsidRDefault="00F4367A">
      <w:pPr>
        <w:tabs>
          <w:tab w:val="left" w:pos="2160"/>
        </w:tabs>
        <w:rPr>
          <w:rFonts w:cs="Arial"/>
          <w:b/>
          <w:bCs/>
        </w:rPr>
      </w:pPr>
    </w:p>
    <w:p w:rsidR="00F4367A" w:rsidRDefault="00F4367A" w:rsidP="004C5B6A">
      <w:pPr>
        <w:tabs>
          <w:tab w:val="left" w:pos="2160"/>
        </w:tabs>
        <w:ind w:left="2160" w:hanging="2160"/>
        <w:rPr>
          <w:rFonts w:cs="Arial"/>
          <w:b/>
          <w:bCs/>
        </w:rPr>
      </w:pPr>
      <w:r>
        <w:rPr>
          <w:rFonts w:cs="Arial"/>
          <w:b/>
          <w:bCs/>
        </w:rPr>
        <w:t>Title of Report:</w:t>
      </w:r>
      <w:r>
        <w:rPr>
          <w:rFonts w:cs="Arial"/>
          <w:b/>
          <w:bCs/>
        </w:rPr>
        <w:tab/>
      </w:r>
      <w:r w:rsidR="00C61E57">
        <w:rPr>
          <w:rFonts w:cs="Arial"/>
          <w:b/>
          <w:bCs/>
        </w:rPr>
        <w:t>Investigation</w:t>
      </w:r>
      <w:r w:rsidR="00262002">
        <w:rPr>
          <w:rFonts w:cs="Arial"/>
          <w:b/>
          <w:bCs/>
        </w:rPr>
        <w:t xml:space="preserve"> </w:t>
      </w:r>
      <w:r w:rsidR="00C61E57">
        <w:rPr>
          <w:rFonts w:cs="Arial"/>
          <w:b/>
          <w:bCs/>
        </w:rPr>
        <w:t xml:space="preserve">Team </w:t>
      </w:r>
      <w:r w:rsidR="00262002">
        <w:rPr>
          <w:rFonts w:cs="Arial"/>
          <w:b/>
          <w:bCs/>
        </w:rPr>
        <w:t>Performance a</w:t>
      </w:r>
      <w:r w:rsidR="009140B9">
        <w:rPr>
          <w:rFonts w:cs="Arial"/>
          <w:b/>
          <w:bCs/>
        </w:rPr>
        <w:t>nd Activity Briefing</w:t>
      </w:r>
    </w:p>
    <w:p w:rsidR="00F4367A" w:rsidRDefault="00F4367A">
      <w:pPr>
        <w:rPr>
          <w:rFonts w:cs="Arial"/>
        </w:rPr>
      </w:pPr>
    </w:p>
    <w:p w:rsidR="00F4367A" w:rsidRDefault="00F4367A" w:rsidP="00514C63">
      <w:pPr>
        <w:pStyle w:val="Heading1"/>
        <w:pBdr>
          <w:top w:val="single" w:sz="4" w:space="1" w:color="auto"/>
          <w:left w:val="single" w:sz="4" w:space="4" w:color="auto"/>
          <w:bottom w:val="single" w:sz="4" w:space="1" w:color="auto"/>
          <w:right w:val="single" w:sz="4" w:space="3" w:color="auto"/>
        </w:pBdr>
        <w:jc w:val="center"/>
        <w:rPr>
          <w:u w:val="single"/>
        </w:rPr>
      </w:pPr>
    </w:p>
    <w:p w:rsidR="00F4367A" w:rsidRDefault="00F4367A" w:rsidP="00514C63">
      <w:pPr>
        <w:pStyle w:val="Heading1"/>
        <w:pBdr>
          <w:top w:val="single" w:sz="4" w:space="1" w:color="auto"/>
          <w:left w:val="single" w:sz="4" w:space="4" w:color="auto"/>
          <w:bottom w:val="single" w:sz="4" w:space="1" w:color="auto"/>
          <w:right w:val="single" w:sz="4" w:space="3" w:color="auto"/>
        </w:pBdr>
        <w:jc w:val="center"/>
        <w:rPr>
          <w:u w:val="single"/>
        </w:rPr>
      </w:pPr>
      <w:r>
        <w:rPr>
          <w:u w:val="single"/>
        </w:rPr>
        <w:t>Summary and Recommendations</w:t>
      </w:r>
    </w:p>
    <w:p w:rsidR="00F4367A" w:rsidRDefault="00F4367A" w:rsidP="00514C63">
      <w:pPr>
        <w:pBdr>
          <w:top w:val="single" w:sz="4" w:space="1" w:color="auto"/>
          <w:left w:val="single" w:sz="4" w:space="4" w:color="auto"/>
          <w:bottom w:val="single" w:sz="4" w:space="1" w:color="auto"/>
          <w:right w:val="single" w:sz="4" w:space="3" w:color="auto"/>
        </w:pBdr>
        <w:rPr>
          <w:rFonts w:cs="Arial"/>
        </w:rPr>
      </w:pPr>
    </w:p>
    <w:p w:rsidR="00DA1441" w:rsidRDefault="00F4367A" w:rsidP="00514C63">
      <w:pPr>
        <w:pBdr>
          <w:top w:val="single" w:sz="4" w:space="1" w:color="auto"/>
          <w:left w:val="single" w:sz="4" w:space="4" w:color="auto"/>
          <w:bottom w:val="single" w:sz="4" w:space="1" w:color="auto"/>
          <w:right w:val="single" w:sz="4" w:space="3" w:color="auto"/>
        </w:pBdr>
        <w:rPr>
          <w:rFonts w:cs="Arial"/>
        </w:rPr>
      </w:pPr>
      <w:r>
        <w:rPr>
          <w:rFonts w:cs="Arial"/>
          <w:b/>
          <w:bCs/>
        </w:rPr>
        <w:t>Purpose of report</w:t>
      </w:r>
      <w:r>
        <w:rPr>
          <w:rFonts w:cs="Arial"/>
        </w:rPr>
        <w:t xml:space="preserve">: </w:t>
      </w:r>
      <w:r w:rsidR="00514C63">
        <w:rPr>
          <w:rFonts w:cs="Arial"/>
        </w:rPr>
        <w:t xml:space="preserve"> </w:t>
      </w:r>
    </w:p>
    <w:p w:rsidR="00AF136A" w:rsidRDefault="00DA1441" w:rsidP="00AF136A">
      <w:pPr>
        <w:pBdr>
          <w:top w:val="single" w:sz="4" w:space="1" w:color="auto"/>
          <w:left w:val="single" w:sz="4" w:space="4" w:color="auto"/>
          <w:bottom w:val="single" w:sz="4" w:space="1" w:color="auto"/>
          <w:right w:val="single" w:sz="4" w:space="3" w:color="auto"/>
        </w:pBdr>
        <w:ind w:left="284" w:hanging="284"/>
        <w:rPr>
          <w:rFonts w:cs="Arial"/>
        </w:rPr>
      </w:pPr>
      <w:r>
        <w:rPr>
          <w:rFonts w:cs="Arial"/>
        </w:rPr>
        <w:t xml:space="preserve">1. To </w:t>
      </w:r>
      <w:r w:rsidR="00AF136A">
        <w:rPr>
          <w:rFonts w:cs="Arial"/>
        </w:rPr>
        <w:t>appr</w:t>
      </w:r>
      <w:r w:rsidR="00832739">
        <w:rPr>
          <w:rFonts w:cs="Arial"/>
        </w:rPr>
        <w:t>a</w:t>
      </w:r>
      <w:r w:rsidR="00AF136A">
        <w:rPr>
          <w:rFonts w:cs="Arial"/>
        </w:rPr>
        <w:t>ise</w:t>
      </w:r>
      <w:r>
        <w:rPr>
          <w:rFonts w:cs="Arial"/>
        </w:rPr>
        <w:t xml:space="preserve"> Members </w:t>
      </w:r>
      <w:r w:rsidR="00AF136A">
        <w:rPr>
          <w:rFonts w:cs="Arial"/>
        </w:rPr>
        <w:t xml:space="preserve">of </w:t>
      </w:r>
      <w:r>
        <w:rPr>
          <w:rFonts w:cs="Arial"/>
        </w:rPr>
        <w:t xml:space="preserve">the activity </w:t>
      </w:r>
      <w:r w:rsidR="00514C63">
        <w:rPr>
          <w:rFonts w:cs="Arial"/>
        </w:rPr>
        <w:t xml:space="preserve">and performance </w:t>
      </w:r>
      <w:r>
        <w:rPr>
          <w:rFonts w:cs="Arial"/>
        </w:rPr>
        <w:t xml:space="preserve">of the </w:t>
      </w:r>
      <w:r w:rsidR="00026745">
        <w:rPr>
          <w:rFonts w:cs="Arial"/>
        </w:rPr>
        <w:t xml:space="preserve">Corporate   </w:t>
      </w:r>
      <w:r>
        <w:rPr>
          <w:rFonts w:cs="Arial"/>
        </w:rPr>
        <w:t>Investigation</w:t>
      </w:r>
      <w:r w:rsidR="00514C63">
        <w:rPr>
          <w:rFonts w:cs="Arial"/>
        </w:rPr>
        <w:t xml:space="preserve"> </w:t>
      </w:r>
      <w:r>
        <w:rPr>
          <w:rFonts w:cs="Arial"/>
        </w:rPr>
        <w:t>Team for the period 1 April 201</w:t>
      </w:r>
      <w:r w:rsidR="00026745">
        <w:rPr>
          <w:rFonts w:cs="Arial"/>
        </w:rPr>
        <w:t>5</w:t>
      </w:r>
      <w:r>
        <w:rPr>
          <w:rFonts w:cs="Arial"/>
        </w:rPr>
        <w:t xml:space="preserve"> to </w:t>
      </w:r>
      <w:r w:rsidR="00514C63">
        <w:rPr>
          <w:rFonts w:cs="Arial"/>
        </w:rPr>
        <w:t>3</w:t>
      </w:r>
      <w:r w:rsidR="00B71216">
        <w:rPr>
          <w:rFonts w:cs="Arial"/>
        </w:rPr>
        <w:t>1 J</w:t>
      </w:r>
      <w:r w:rsidR="004761D2">
        <w:rPr>
          <w:rFonts w:cs="Arial"/>
        </w:rPr>
        <w:t>anuary 2016</w:t>
      </w:r>
    </w:p>
    <w:p w:rsidR="00F4367A" w:rsidRDefault="00F4367A" w:rsidP="00AF136A">
      <w:pPr>
        <w:pBdr>
          <w:top w:val="single" w:sz="4" w:space="1" w:color="auto"/>
          <w:left w:val="single" w:sz="4" w:space="4" w:color="auto"/>
          <w:bottom w:val="single" w:sz="4" w:space="1" w:color="auto"/>
          <w:right w:val="single" w:sz="4" w:space="3" w:color="auto"/>
        </w:pBdr>
        <w:ind w:left="284" w:hanging="284"/>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rsidP="00514C63">
      <w:pPr>
        <w:pStyle w:val="Heading1"/>
        <w:pBdr>
          <w:top w:val="single" w:sz="4" w:space="1" w:color="auto"/>
          <w:left w:val="single" w:sz="4" w:space="4" w:color="auto"/>
          <w:bottom w:val="single" w:sz="4" w:space="1" w:color="auto"/>
          <w:right w:val="single" w:sz="4" w:space="3" w:color="auto"/>
        </w:pBdr>
        <w:tabs>
          <w:tab w:val="left" w:pos="3062"/>
        </w:tabs>
        <w:rPr>
          <w:bCs w:val="0"/>
        </w:rPr>
      </w:pPr>
      <w:r>
        <w:rPr>
          <w:bCs w:val="0"/>
        </w:rPr>
        <w:t xml:space="preserve">Key decision </w:t>
      </w:r>
      <w:r w:rsidR="00C61E57">
        <w:rPr>
          <w:b w:val="0"/>
          <w:bCs w:val="0"/>
        </w:rPr>
        <w:t>No</w:t>
      </w:r>
    </w:p>
    <w:p w:rsidR="00F4367A" w:rsidRDefault="00F4367A" w:rsidP="00514C63">
      <w:pPr>
        <w:pBdr>
          <w:top w:val="single" w:sz="4" w:space="1" w:color="auto"/>
          <w:left w:val="single" w:sz="4" w:space="4" w:color="auto"/>
          <w:bottom w:val="single" w:sz="4" w:space="1" w:color="auto"/>
          <w:right w:val="single" w:sz="4" w:space="3" w:color="auto"/>
        </w:pBdr>
        <w:rPr>
          <w:rFonts w:cs="Arial"/>
        </w:rPr>
      </w:pPr>
    </w:p>
    <w:p w:rsidR="00F4367A" w:rsidRDefault="00F4367A" w:rsidP="00514C63">
      <w:pPr>
        <w:pBdr>
          <w:top w:val="single" w:sz="4" w:space="1" w:color="auto"/>
          <w:left w:val="single" w:sz="4" w:space="4" w:color="auto"/>
          <w:bottom w:val="single" w:sz="4" w:space="1" w:color="auto"/>
          <w:right w:val="single" w:sz="4" w:space="3" w:color="auto"/>
        </w:pBdr>
        <w:rPr>
          <w:rFonts w:cs="Arial"/>
          <w:b/>
          <w:bCs/>
        </w:rPr>
      </w:pPr>
      <w:r>
        <w:rPr>
          <w:rFonts w:cs="Arial"/>
          <w:b/>
          <w:bCs/>
        </w:rPr>
        <w:t xml:space="preserve">Executive lead member: </w:t>
      </w:r>
      <w:r w:rsidR="00514C63" w:rsidRPr="00514C63">
        <w:rPr>
          <w:rFonts w:cs="Arial"/>
          <w:bCs/>
        </w:rPr>
        <w:t>Councillor Ed Turner</w:t>
      </w:r>
    </w:p>
    <w:p w:rsidR="00F4367A" w:rsidRDefault="00F4367A" w:rsidP="00514C63">
      <w:pPr>
        <w:pStyle w:val="Heading1"/>
        <w:pBdr>
          <w:top w:val="single" w:sz="4" w:space="1" w:color="auto"/>
          <w:left w:val="single" w:sz="4" w:space="4" w:color="auto"/>
          <w:bottom w:val="single" w:sz="4" w:space="1" w:color="auto"/>
          <w:right w:val="single" w:sz="4" w:space="3" w:color="auto"/>
        </w:pBdr>
      </w:pPr>
    </w:p>
    <w:p w:rsidR="00F4367A" w:rsidRDefault="00F4367A" w:rsidP="00514C63">
      <w:pPr>
        <w:pBdr>
          <w:top w:val="single" w:sz="4" w:space="1" w:color="auto"/>
          <w:left w:val="single" w:sz="4" w:space="4" w:color="auto"/>
          <w:bottom w:val="single" w:sz="4" w:space="1" w:color="auto"/>
          <w:right w:val="single" w:sz="4" w:space="3" w:color="auto"/>
        </w:pBdr>
        <w:rPr>
          <w:rFonts w:cs="Arial"/>
          <w:b/>
          <w:bCs/>
        </w:rPr>
      </w:pPr>
      <w:r>
        <w:rPr>
          <w:rFonts w:cs="Arial"/>
          <w:b/>
          <w:bCs/>
        </w:rPr>
        <w:t xml:space="preserve">Policy Framework: </w:t>
      </w:r>
      <w:r w:rsidR="00C61E57">
        <w:rPr>
          <w:rFonts w:cs="Arial"/>
          <w:b/>
          <w:bCs/>
        </w:rPr>
        <w:t>Corporate Plan Priority – Efficient &amp; Effective Council</w:t>
      </w:r>
    </w:p>
    <w:p w:rsidR="00F4367A" w:rsidRDefault="00F4367A" w:rsidP="00514C63">
      <w:pPr>
        <w:pStyle w:val="Heading1"/>
        <w:pBdr>
          <w:top w:val="single" w:sz="4" w:space="1" w:color="auto"/>
          <w:left w:val="single" w:sz="4" w:space="4" w:color="auto"/>
          <w:bottom w:val="single" w:sz="4" w:space="1" w:color="auto"/>
          <w:right w:val="single" w:sz="4" w:space="3" w:color="auto"/>
        </w:pBdr>
      </w:pPr>
    </w:p>
    <w:p w:rsidR="00F4367A" w:rsidRDefault="00F4367A" w:rsidP="00514C63">
      <w:pPr>
        <w:pBdr>
          <w:top w:val="single" w:sz="4" w:space="1" w:color="auto"/>
          <w:left w:val="single" w:sz="4" w:space="4" w:color="auto"/>
          <w:bottom w:val="single" w:sz="4" w:space="1" w:color="auto"/>
          <w:right w:val="single" w:sz="4" w:space="3" w:color="auto"/>
        </w:pBdr>
        <w:tabs>
          <w:tab w:val="left" w:pos="3048"/>
        </w:tabs>
        <w:rPr>
          <w:rFonts w:cs="Arial"/>
          <w:b/>
        </w:rPr>
      </w:pPr>
      <w:r>
        <w:rPr>
          <w:rFonts w:cs="Arial"/>
          <w:b/>
        </w:rPr>
        <w:t xml:space="preserve">Recommendation(s): </w:t>
      </w:r>
      <w:r w:rsidR="00514C63" w:rsidRPr="00514C63">
        <w:rPr>
          <w:rFonts w:cs="Arial"/>
        </w:rPr>
        <w:t>That the report be noted</w:t>
      </w:r>
      <w:r>
        <w:rPr>
          <w:rFonts w:cs="Arial"/>
          <w:b/>
        </w:rPr>
        <w:tab/>
      </w:r>
    </w:p>
    <w:p w:rsidR="00F4367A" w:rsidRDefault="00F4367A" w:rsidP="00514C63">
      <w:pPr>
        <w:pBdr>
          <w:top w:val="single" w:sz="4" w:space="1" w:color="auto"/>
          <w:left w:val="single" w:sz="4" w:space="4" w:color="auto"/>
          <w:bottom w:val="single" w:sz="4" w:space="1" w:color="auto"/>
          <w:right w:val="single" w:sz="4" w:space="3" w:color="auto"/>
        </w:pBdr>
        <w:tabs>
          <w:tab w:val="left" w:pos="3048"/>
        </w:tabs>
        <w:rPr>
          <w:rFonts w:cs="Arial"/>
          <w:b/>
        </w:rPr>
      </w:pPr>
    </w:p>
    <w:p w:rsidR="00F4367A" w:rsidRDefault="00F4367A">
      <w:pPr>
        <w:rPr>
          <w:rFonts w:cs="Arial"/>
        </w:rPr>
      </w:pPr>
    </w:p>
    <w:p w:rsidR="006E3B55" w:rsidRDefault="007F2AD3">
      <w:pPr>
        <w:rPr>
          <w:rFonts w:cs="Arial"/>
          <w:b/>
        </w:rPr>
      </w:pPr>
      <w:r>
        <w:rPr>
          <w:rFonts w:cs="Arial"/>
          <w:b/>
        </w:rPr>
        <w:t>Appendices</w:t>
      </w:r>
    </w:p>
    <w:p w:rsidR="007F2AD3" w:rsidRDefault="007F2AD3">
      <w:pPr>
        <w:rPr>
          <w:rFonts w:cs="Arial"/>
          <w:b/>
        </w:rPr>
      </w:pPr>
    </w:p>
    <w:p w:rsidR="00F21D13" w:rsidRDefault="007F2AD3">
      <w:pPr>
        <w:rPr>
          <w:rFonts w:cs="Arial"/>
        </w:rPr>
      </w:pPr>
      <w:r>
        <w:rPr>
          <w:rFonts w:cs="Arial"/>
        </w:rPr>
        <w:t>Appendix 1</w:t>
      </w:r>
      <w:r w:rsidR="00F21D13">
        <w:rPr>
          <w:rFonts w:cs="Arial"/>
        </w:rPr>
        <w:t>- Investigation Team Structure chart</w:t>
      </w:r>
    </w:p>
    <w:p w:rsidR="007F2AD3" w:rsidRPr="007F2AD3" w:rsidRDefault="00F21D13">
      <w:pPr>
        <w:rPr>
          <w:rFonts w:cs="Arial"/>
        </w:rPr>
      </w:pPr>
      <w:r>
        <w:rPr>
          <w:rFonts w:cs="Arial"/>
        </w:rPr>
        <w:t xml:space="preserve">Appendix 2 </w:t>
      </w:r>
      <w:r w:rsidR="007F2AD3">
        <w:rPr>
          <w:rFonts w:cs="Arial"/>
        </w:rPr>
        <w:t xml:space="preserve">- </w:t>
      </w:r>
      <w:r w:rsidR="004761D2">
        <w:rPr>
          <w:rFonts w:cs="Arial"/>
        </w:rPr>
        <w:t>Protecting the English Public Purse Fraud Briefing 2015</w:t>
      </w:r>
    </w:p>
    <w:p w:rsidR="007F2AD3" w:rsidRDefault="007F2AD3">
      <w:pPr>
        <w:rPr>
          <w:rFonts w:cs="Arial"/>
          <w:b/>
        </w:rPr>
      </w:pPr>
    </w:p>
    <w:p w:rsidR="007B6E54" w:rsidRDefault="00302A89">
      <w:pPr>
        <w:rPr>
          <w:rFonts w:cs="Arial"/>
          <w:b/>
        </w:rPr>
      </w:pPr>
      <w:r>
        <w:rPr>
          <w:rFonts w:cs="Arial"/>
          <w:b/>
        </w:rPr>
        <w:t xml:space="preserve">      </w:t>
      </w:r>
      <w:r w:rsidR="007B6E54">
        <w:rPr>
          <w:rFonts w:cs="Arial"/>
          <w:b/>
        </w:rPr>
        <w:t>Background</w:t>
      </w:r>
    </w:p>
    <w:p w:rsidR="007B6E54" w:rsidRDefault="007B6E54">
      <w:pPr>
        <w:rPr>
          <w:rFonts w:cs="Arial"/>
          <w:b/>
        </w:rPr>
      </w:pPr>
    </w:p>
    <w:p w:rsidR="00E55FA1" w:rsidRDefault="00832739" w:rsidP="005512A2">
      <w:pPr>
        <w:pStyle w:val="ListParagraph"/>
        <w:numPr>
          <w:ilvl w:val="0"/>
          <w:numId w:val="2"/>
        </w:numPr>
        <w:rPr>
          <w:rFonts w:cs="Arial"/>
        </w:rPr>
      </w:pPr>
      <w:r>
        <w:rPr>
          <w:rFonts w:cs="Arial"/>
        </w:rPr>
        <w:t>Following the introduction of the Single Fraud Investigation Service SFIS, t</w:t>
      </w:r>
      <w:r w:rsidR="005512A2" w:rsidRPr="005512A2">
        <w:rPr>
          <w:rFonts w:cs="Arial"/>
        </w:rPr>
        <w:t xml:space="preserve">he remit of the Investigation Team </w:t>
      </w:r>
      <w:r w:rsidR="001046A6">
        <w:rPr>
          <w:rFonts w:cs="Arial"/>
        </w:rPr>
        <w:t xml:space="preserve">has moved away from </w:t>
      </w:r>
      <w:proofErr w:type="gramStart"/>
      <w:r w:rsidR="00EF0FF2">
        <w:rPr>
          <w:rFonts w:cs="Arial"/>
        </w:rPr>
        <w:t>tackl</w:t>
      </w:r>
      <w:r w:rsidR="001046A6">
        <w:rPr>
          <w:rFonts w:cs="Arial"/>
        </w:rPr>
        <w:t>ing  Housing</w:t>
      </w:r>
      <w:proofErr w:type="gramEnd"/>
      <w:r w:rsidR="001046A6">
        <w:rPr>
          <w:rFonts w:cs="Arial"/>
        </w:rPr>
        <w:t xml:space="preserve"> Benefit fraud to a corporate orientated approach aligned to our services’ fraud risks and the priorities identified by </w:t>
      </w:r>
      <w:r w:rsidR="00E96638">
        <w:rPr>
          <w:rFonts w:cs="Arial"/>
        </w:rPr>
        <w:t>the Audit Commission</w:t>
      </w:r>
      <w:r w:rsidR="001046A6">
        <w:rPr>
          <w:rFonts w:cs="Arial"/>
        </w:rPr>
        <w:t>.</w:t>
      </w:r>
    </w:p>
    <w:p w:rsidR="001046A6" w:rsidRDefault="001046A6" w:rsidP="001046A6">
      <w:pPr>
        <w:rPr>
          <w:rFonts w:cs="Arial"/>
        </w:rPr>
      </w:pPr>
    </w:p>
    <w:p w:rsidR="001046A6" w:rsidRPr="001046A6" w:rsidRDefault="001046A6" w:rsidP="001046A6">
      <w:pPr>
        <w:ind w:left="360"/>
        <w:rPr>
          <w:rFonts w:cs="Arial"/>
        </w:rPr>
      </w:pPr>
      <w:r>
        <w:rPr>
          <w:rFonts w:cs="Arial"/>
        </w:rPr>
        <w:t xml:space="preserve">The aims and objectives of the </w:t>
      </w:r>
      <w:r w:rsidR="0058032C">
        <w:rPr>
          <w:rFonts w:cs="Arial"/>
        </w:rPr>
        <w:t>T</w:t>
      </w:r>
      <w:r>
        <w:rPr>
          <w:rFonts w:cs="Arial"/>
        </w:rPr>
        <w:t xml:space="preserve">eam are to provide high quality professional </w:t>
      </w:r>
      <w:r w:rsidR="00862AB0">
        <w:rPr>
          <w:rFonts w:cs="Arial"/>
        </w:rPr>
        <w:t>c</w:t>
      </w:r>
      <w:r>
        <w:rPr>
          <w:rFonts w:cs="Arial"/>
        </w:rPr>
        <w:t xml:space="preserve">orporate </w:t>
      </w:r>
      <w:r w:rsidR="00862AB0">
        <w:rPr>
          <w:rFonts w:cs="Arial"/>
        </w:rPr>
        <w:t>f</w:t>
      </w:r>
      <w:r>
        <w:rPr>
          <w:rFonts w:cs="Arial"/>
        </w:rPr>
        <w:t xml:space="preserve">raud </w:t>
      </w:r>
      <w:r w:rsidR="00862AB0">
        <w:rPr>
          <w:rFonts w:cs="Arial"/>
        </w:rPr>
        <w:t xml:space="preserve">investigation </w:t>
      </w:r>
      <w:r>
        <w:rPr>
          <w:rFonts w:cs="Arial"/>
        </w:rPr>
        <w:t xml:space="preserve">services to the Council </w:t>
      </w:r>
      <w:r w:rsidR="00862AB0">
        <w:rPr>
          <w:rFonts w:cs="Arial"/>
        </w:rPr>
        <w:t>to</w:t>
      </w:r>
      <w:r>
        <w:rPr>
          <w:rFonts w:cs="Arial"/>
        </w:rPr>
        <w:t xml:space="preserve"> prevent and detect fraud and error within </w:t>
      </w:r>
      <w:r w:rsidR="00862AB0">
        <w:rPr>
          <w:rFonts w:cs="Arial"/>
        </w:rPr>
        <w:t xml:space="preserve">the </w:t>
      </w:r>
      <w:r>
        <w:rPr>
          <w:rFonts w:cs="Arial"/>
        </w:rPr>
        <w:t>Council and partner organisations, and to assist cross border agencies where possible.</w:t>
      </w:r>
    </w:p>
    <w:p w:rsidR="00E55FA1" w:rsidRDefault="00E55FA1">
      <w:pPr>
        <w:rPr>
          <w:rFonts w:cs="Arial"/>
          <w:b/>
        </w:rPr>
      </w:pPr>
    </w:p>
    <w:p w:rsidR="00AA3834" w:rsidRDefault="00AA3834">
      <w:pPr>
        <w:rPr>
          <w:rFonts w:cs="Arial"/>
          <w:b/>
        </w:rPr>
      </w:pPr>
    </w:p>
    <w:p w:rsidR="002A48DC" w:rsidRPr="002A48DC" w:rsidRDefault="00302A89" w:rsidP="002A48DC">
      <w:pPr>
        <w:autoSpaceDE w:val="0"/>
        <w:autoSpaceDN w:val="0"/>
        <w:adjustRightInd w:val="0"/>
        <w:jc w:val="both"/>
        <w:rPr>
          <w:rFonts w:cs="Arial"/>
          <w:b/>
          <w:lang w:eastAsia="en-GB"/>
        </w:rPr>
      </w:pPr>
      <w:r>
        <w:rPr>
          <w:rFonts w:cs="Arial"/>
          <w:b/>
          <w:lang w:eastAsia="en-GB"/>
        </w:rPr>
        <w:t xml:space="preserve">      </w:t>
      </w:r>
      <w:r w:rsidR="002A48DC">
        <w:rPr>
          <w:rFonts w:cs="Arial"/>
          <w:b/>
          <w:lang w:eastAsia="en-GB"/>
        </w:rPr>
        <w:t>Performance</w:t>
      </w:r>
    </w:p>
    <w:p w:rsidR="002A48DC" w:rsidRPr="002A48DC" w:rsidRDefault="002A48DC" w:rsidP="002A48DC">
      <w:pPr>
        <w:autoSpaceDE w:val="0"/>
        <w:autoSpaceDN w:val="0"/>
        <w:adjustRightInd w:val="0"/>
        <w:jc w:val="both"/>
        <w:rPr>
          <w:rFonts w:cs="Arial"/>
          <w:lang w:eastAsia="en-GB"/>
        </w:rPr>
      </w:pPr>
    </w:p>
    <w:p w:rsidR="00036F46" w:rsidRPr="00036F46" w:rsidRDefault="00036F46" w:rsidP="00036F46">
      <w:pPr>
        <w:pStyle w:val="ListParagraph"/>
        <w:numPr>
          <w:ilvl w:val="0"/>
          <w:numId w:val="2"/>
        </w:numPr>
        <w:autoSpaceDE w:val="0"/>
        <w:autoSpaceDN w:val="0"/>
        <w:adjustRightInd w:val="0"/>
        <w:jc w:val="both"/>
        <w:rPr>
          <w:rFonts w:cs="Arial"/>
          <w:lang w:eastAsia="en-GB"/>
        </w:rPr>
      </w:pPr>
      <w:r w:rsidRPr="00036F46">
        <w:rPr>
          <w:rFonts w:cs="Arial"/>
        </w:rPr>
        <w:t>There are t</w:t>
      </w:r>
      <w:r w:rsidR="00EF0FF2">
        <w:rPr>
          <w:rFonts w:cs="Arial"/>
        </w:rPr>
        <w:t>hree</w:t>
      </w:r>
      <w:r w:rsidRPr="00036F46">
        <w:rPr>
          <w:rFonts w:cs="Arial"/>
        </w:rPr>
        <w:t xml:space="preserve"> Service Performance Indicators </w:t>
      </w:r>
      <w:r w:rsidRPr="00036F46">
        <w:rPr>
          <w:rFonts w:cs="Arial"/>
          <w:lang w:eastAsia="en-GB"/>
        </w:rPr>
        <w:t xml:space="preserve">which are used to track </w:t>
      </w:r>
      <w:proofErr w:type="gramStart"/>
      <w:r w:rsidRPr="00036F46">
        <w:rPr>
          <w:rFonts w:cs="Arial"/>
          <w:lang w:eastAsia="en-GB"/>
        </w:rPr>
        <w:t>performance</w:t>
      </w:r>
      <w:proofErr w:type="gramEnd"/>
      <w:r w:rsidRPr="00036F46">
        <w:rPr>
          <w:rFonts w:cs="Arial"/>
          <w:lang w:eastAsia="en-GB"/>
        </w:rPr>
        <w:t xml:space="preserve"> on a monthly basis. Performance </w:t>
      </w:r>
      <w:r w:rsidR="004C71E8">
        <w:rPr>
          <w:rFonts w:cs="Arial"/>
          <w:lang w:eastAsia="en-GB"/>
        </w:rPr>
        <w:t xml:space="preserve">against these targets </w:t>
      </w:r>
      <w:r w:rsidR="00054FBB">
        <w:rPr>
          <w:rFonts w:cs="Arial"/>
          <w:lang w:eastAsia="en-GB"/>
        </w:rPr>
        <w:t>is shown in the table below</w:t>
      </w:r>
      <w:r w:rsidRPr="00036F46">
        <w:rPr>
          <w:rFonts w:cs="Arial"/>
          <w:lang w:eastAsia="en-GB"/>
        </w:rPr>
        <w:t xml:space="preserve">. </w:t>
      </w:r>
    </w:p>
    <w:p w:rsidR="00036F46" w:rsidRDefault="00036F46" w:rsidP="00036F46">
      <w:pPr>
        <w:rPr>
          <w:rFonts w:cs="Arial"/>
        </w:rPr>
      </w:pP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8"/>
        <w:gridCol w:w="1701"/>
        <w:gridCol w:w="3594"/>
      </w:tblGrid>
      <w:tr w:rsidR="00054FBB" w:rsidRPr="002A332E" w:rsidTr="00B14373">
        <w:tc>
          <w:tcPr>
            <w:tcW w:w="8414" w:type="dxa"/>
            <w:gridSpan w:val="4"/>
            <w:shd w:val="clear" w:color="auto" w:fill="548DD4"/>
          </w:tcPr>
          <w:p w:rsidR="00054FBB" w:rsidRPr="002A332E" w:rsidRDefault="00030F54" w:rsidP="00F6212A">
            <w:pPr>
              <w:autoSpaceDE w:val="0"/>
              <w:autoSpaceDN w:val="0"/>
              <w:adjustRightInd w:val="0"/>
              <w:rPr>
                <w:rFonts w:cs="Arial"/>
                <w:b/>
                <w:lang w:eastAsia="en-GB"/>
              </w:rPr>
            </w:pPr>
            <w:r>
              <w:rPr>
                <w:rFonts w:cs="Arial"/>
                <w:b/>
                <w:lang w:eastAsia="en-GB"/>
              </w:rPr>
              <w:t xml:space="preserve">Table 1 - </w:t>
            </w:r>
            <w:r w:rsidR="00054FBB">
              <w:rPr>
                <w:rFonts w:cs="Arial"/>
                <w:b/>
                <w:lang w:eastAsia="en-GB"/>
              </w:rPr>
              <w:t>Investi</w:t>
            </w:r>
            <w:r w:rsidR="00B71216">
              <w:rPr>
                <w:rFonts w:cs="Arial"/>
                <w:b/>
                <w:lang w:eastAsia="en-GB"/>
              </w:rPr>
              <w:t xml:space="preserve">gations Team Performance from </w:t>
            </w:r>
            <w:r w:rsidR="00CF67F4">
              <w:rPr>
                <w:rFonts w:cs="Arial"/>
                <w:b/>
                <w:lang w:eastAsia="en-GB"/>
              </w:rPr>
              <w:t xml:space="preserve">01 </w:t>
            </w:r>
            <w:r w:rsidR="00B71216">
              <w:rPr>
                <w:rFonts w:cs="Arial"/>
                <w:b/>
                <w:lang w:eastAsia="en-GB"/>
              </w:rPr>
              <w:t xml:space="preserve">April 2015 </w:t>
            </w:r>
            <w:r w:rsidR="00B71216" w:rsidRPr="00CF67F4">
              <w:rPr>
                <w:rFonts w:cs="Arial"/>
                <w:b/>
                <w:lang w:eastAsia="en-GB"/>
              </w:rPr>
              <w:t xml:space="preserve">to </w:t>
            </w:r>
            <w:r w:rsidR="00CF67F4" w:rsidRPr="00CF67F4">
              <w:rPr>
                <w:rFonts w:cs="Arial"/>
                <w:b/>
                <w:lang w:eastAsia="en-GB"/>
              </w:rPr>
              <w:t xml:space="preserve">31 </w:t>
            </w:r>
            <w:r w:rsidR="00B71216" w:rsidRPr="00CF67F4">
              <w:rPr>
                <w:rFonts w:cs="Arial"/>
                <w:b/>
                <w:lang w:eastAsia="en-GB"/>
              </w:rPr>
              <w:t>J</w:t>
            </w:r>
            <w:r w:rsidR="00F6212A" w:rsidRPr="00CF67F4">
              <w:rPr>
                <w:rFonts w:cs="Arial"/>
                <w:b/>
                <w:lang w:eastAsia="en-GB"/>
              </w:rPr>
              <w:t>anuary 2016</w:t>
            </w:r>
          </w:p>
        </w:tc>
      </w:tr>
      <w:tr w:rsidR="00B14373" w:rsidRPr="002A332E" w:rsidTr="00763979">
        <w:tc>
          <w:tcPr>
            <w:tcW w:w="1701" w:type="dxa"/>
            <w:shd w:val="clear" w:color="auto" w:fill="548DD4"/>
          </w:tcPr>
          <w:p w:rsidR="00B14373" w:rsidRPr="002A332E" w:rsidRDefault="00B14373" w:rsidP="00293121">
            <w:pPr>
              <w:autoSpaceDE w:val="0"/>
              <w:autoSpaceDN w:val="0"/>
              <w:adjustRightInd w:val="0"/>
              <w:jc w:val="center"/>
              <w:rPr>
                <w:rFonts w:cs="Arial"/>
                <w:b/>
                <w:lang w:eastAsia="en-GB"/>
              </w:rPr>
            </w:pPr>
            <w:r w:rsidRPr="002A332E">
              <w:rPr>
                <w:rFonts w:cs="Arial"/>
                <w:b/>
                <w:lang w:eastAsia="en-GB"/>
              </w:rPr>
              <w:t>Measure</w:t>
            </w:r>
          </w:p>
          <w:p w:rsidR="00B14373" w:rsidRPr="002A332E" w:rsidRDefault="00B14373" w:rsidP="00293121">
            <w:pPr>
              <w:autoSpaceDE w:val="0"/>
              <w:autoSpaceDN w:val="0"/>
              <w:adjustRightInd w:val="0"/>
              <w:jc w:val="center"/>
              <w:rPr>
                <w:rFonts w:cs="Arial"/>
                <w:b/>
                <w:lang w:eastAsia="en-GB"/>
              </w:rPr>
            </w:pPr>
          </w:p>
        </w:tc>
        <w:tc>
          <w:tcPr>
            <w:tcW w:w="1418" w:type="dxa"/>
            <w:shd w:val="clear" w:color="auto" w:fill="548DD4"/>
          </w:tcPr>
          <w:p w:rsidR="00B14373" w:rsidRDefault="00B14373" w:rsidP="00293121">
            <w:pPr>
              <w:autoSpaceDE w:val="0"/>
              <w:autoSpaceDN w:val="0"/>
              <w:adjustRightInd w:val="0"/>
              <w:jc w:val="center"/>
              <w:rPr>
                <w:rFonts w:cs="Arial"/>
                <w:b/>
                <w:lang w:eastAsia="en-GB"/>
              </w:rPr>
            </w:pPr>
            <w:r>
              <w:rPr>
                <w:rFonts w:cs="Arial"/>
                <w:b/>
                <w:lang w:eastAsia="en-GB"/>
              </w:rPr>
              <w:t>Annual Target</w:t>
            </w:r>
          </w:p>
        </w:tc>
        <w:tc>
          <w:tcPr>
            <w:tcW w:w="1701" w:type="dxa"/>
            <w:shd w:val="clear" w:color="auto" w:fill="548DD4"/>
          </w:tcPr>
          <w:p w:rsidR="00B14373" w:rsidRPr="002A332E" w:rsidRDefault="00B14373" w:rsidP="00B71216">
            <w:pPr>
              <w:autoSpaceDE w:val="0"/>
              <w:autoSpaceDN w:val="0"/>
              <w:adjustRightInd w:val="0"/>
              <w:jc w:val="center"/>
              <w:rPr>
                <w:rFonts w:cs="Arial"/>
                <w:b/>
                <w:lang w:eastAsia="en-GB"/>
              </w:rPr>
            </w:pPr>
            <w:r>
              <w:rPr>
                <w:rFonts w:cs="Arial"/>
                <w:b/>
                <w:lang w:eastAsia="en-GB"/>
              </w:rPr>
              <w:t>Total to date</w:t>
            </w:r>
          </w:p>
        </w:tc>
        <w:tc>
          <w:tcPr>
            <w:tcW w:w="3594" w:type="dxa"/>
            <w:shd w:val="clear" w:color="auto" w:fill="548DD4"/>
          </w:tcPr>
          <w:p w:rsidR="00B14373" w:rsidRPr="002A332E" w:rsidRDefault="00B14373" w:rsidP="00293121">
            <w:pPr>
              <w:autoSpaceDE w:val="0"/>
              <w:autoSpaceDN w:val="0"/>
              <w:adjustRightInd w:val="0"/>
              <w:jc w:val="center"/>
              <w:rPr>
                <w:rFonts w:cs="Arial"/>
                <w:b/>
                <w:lang w:eastAsia="en-GB"/>
              </w:rPr>
            </w:pPr>
            <w:r>
              <w:rPr>
                <w:rFonts w:cs="Arial"/>
                <w:b/>
                <w:lang w:eastAsia="en-GB"/>
              </w:rPr>
              <w:t>Comment</w:t>
            </w:r>
          </w:p>
        </w:tc>
      </w:tr>
      <w:tr w:rsidR="00B14373" w:rsidRPr="002A332E" w:rsidTr="00763979">
        <w:trPr>
          <w:trHeight w:val="1189"/>
        </w:trPr>
        <w:tc>
          <w:tcPr>
            <w:tcW w:w="1701" w:type="dxa"/>
            <w:shd w:val="clear" w:color="auto" w:fill="auto"/>
          </w:tcPr>
          <w:p w:rsidR="00B14373" w:rsidRPr="002A332E" w:rsidRDefault="00B14373" w:rsidP="000B234E">
            <w:pPr>
              <w:autoSpaceDE w:val="0"/>
              <w:autoSpaceDN w:val="0"/>
              <w:adjustRightInd w:val="0"/>
              <w:rPr>
                <w:rFonts w:cs="Arial"/>
                <w:lang w:eastAsia="en-GB"/>
              </w:rPr>
            </w:pPr>
            <w:r w:rsidRPr="00365161">
              <w:rPr>
                <w:bCs/>
              </w:rPr>
              <w:t xml:space="preserve">Number of </w:t>
            </w:r>
            <w:r>
              <w:rPr>
                <w:bCs/>
              </w:rPr>
              <w:t>properties returned to housing stock</w:t>
            </w:r>
            <w:r w:rsidRPr="00365161">
              <w:rPr>
                <w:bCs/>
              </w:rPr>
              <w:t xml:space="preserve"> </w:t>
            </w:r>
          </w:p>
        </w:tc>
        <w:tc>
          <w:tcPr>
            <w:tcW w:w="1418" w:type="dxa"/>
          </w:tcPr>
          <w:p w:rsidR="00B14373" w:rsidRDefault="00B14373" w:rsidP="00293121">
            <w:pPr>
              <w:autoSpaceDE w:val="0"/>
              <w:autoSpaceDN w:val="0"/>
              <w:adjustRightInd w:val="0"/>
              <w:jc w:val="center"/>
              <w:rPr>
                <w:rFonts w:cs="Arial"/>
                <w:lang w:eastAsia="en-GB"/>
              </w:rPr>
            </w:pPr>
            <w:r>
              <w:rPr>
                <w:rFonts w:cs="Arial"/>
                <w:lang w:eastAsia="en-GB"/>
              </w:rPr>
              <w:t>20</w:t>
            </w:r>
          </w:p>
        </w:tc>
        <w:tc>
          <w:tcPr>
            <w:tcW w:w="1701" w:type="dxa"/>
            <w:shd w:val="clear" w:color="auto" w:fill="auto"/>
          </w:tcPr>
          <w:p w:rsidR="00B14373" w:rsidRPr="002A332E" w:rsidRDefault="00B14373" w:rsidP="004761D2">
            <w:pPr>
              <w:autoSpaceDE w:val="0"/>
              <w:autoSpaceDN w:val="0"/>
              <w:adjustRightInd w:val="0"/>
              <w:jc w:val="center"/>
              <w:rPr>
                <w:rFonts w:cs="Arial"/>
                <w:lang w:eastAsia="en-GB"/>
              </w:rPr>
            </w:pPr>
            <w:r>
              <w:rPr>
                <w:rFonts w:cs="Arial"/>
                <w:lang w:eastAsia="en-GB"/>
              </w:rPr>
              <w:t>1</w:t>
            </w:r>
            <w:r w:rsidR="004761D2">
              <w:rPr>
                <w:rFonts w:cs="Arial"/>
                <w:lang w:eastAsia="en-GB"/>
              </w:rPr>
              <w:t>7</w:t>
            </w:r>
          </w:p>
        </w:tc>
        <w:tc>
          <w:tcPr>
            <w:tcW w:w="3594" w:type="dxa"/>
            <w:shd w:val="clear" w:color="auto" w:fill="auto"/>
          </w:tcPr>
          <w:p w:rsidR="00B14373" w:rsidRPr="00365161" w:rsidRDefault="004761D2" w:rsidP="002313E2">
            <w:pPr>
              <w:autoSpaceDE w:val="0"/>
              <w:autoSpaceDN w:val="0"/>
              <w:adjustRightInd w:val="0"/>
              <w:rPr>
                <w:rFonts w:cs="Arial"/>
                <w:lang w:eastAsia="en-GB"/>
              </w:rPr>
            </w:pPr>
            <w:r>
              <w:rPr>
                <w:rFonts w:cs="Arial"/>
                <w:lang w:eastAsia="en-GB"/>
              </w:rPr>
              <w:t>9</w:t>
            </w:r>
            <w:r w:rsidR="00B14373">
              <w:rPr>
                <w:rFonts w:cs="Arial"/>
                <w:lang w:eastAsia="en-GB"/>
              </w:rPr>
              <w:t>5% target</w:t>
            </w:r>
            <w:r w:rsidR="002313E2">
              <w:rPr>
                <w:rFonts w:cs="Arial"/>
                <w:lang w:eastAsia="en-GB"/>
              </w:rPr>
              <w:t xml:space="preserve"> achieved. On track to </w:t>
            </w:r>
            <w:r w:rsidR="00BE30B1">
              <w:rPr>
                <w:rFonts w:cs="Arial"/>
                <w:lang w:eastAsia="en-GB"/>
              </w:rPr>
              <w:t>achieve target.</w:t>
            </w:r>
          </w:p>
        </w:tc>
      </w:tr>
      <w:tr w:rsidR="00B14373" w:rsidRPr="002A332E" w:rsidTr="00763979">
        <w:tc>
          <w:tcPr>
            <w:tcW w:w="1701" w:type="dxa"/>
            <w:shd w:val="clear" w:color="auto" w:fill="auto"/>
          </w:tcPr>
          <w:p w:rsidR="00B14373" w:rsidRPr="00365161" w:rsidRDefault="00B14373" w:rsidP="00C309D1">
            <w:pPr>
              <w:autoSpaceDE w:val="0"/>
              <w:autoSpaceDN w:val="0"/>
              <w:adjustRightInd w:val="0"/>
              <w:rPr>
                <w:rFonts w:cs="Arial"/>
                <w:lang w:eastAsia="en-GB"/>
              </w:rPr>
            </w:pPr>
            <w:r>
              <w:rPr>
                <w:bCs/>
              </w:rPr>
              <w:t xml:space="preserve">Income raised and payments prevented from </w:t>
            </w:r>
            <w:proofErr w:type="spellStart"/>
            <w:r>
              <w:rPr>
                <w:bCs/>
              </w:rPr>
              <w:t>non welfare</w:t>
            </w:r>
            <w:proofErr w:type="spellEnd"/>
            <w:r>
              <w:rPr>
                <w:bCs/>
              </w:rPr>
              <w:t xml:space="preserve"> benefit fraud</w:t>
            </w:r>
            <w:r w:rsidRPr="00365161">
              <w:rPr>
                <w:rFonts w:cs="Arial"/>
                <w:lang w:eastAsia="en-GB"/>
              </w:rPr>
              <w:t xml:space="preserve"> </w:t>
            </w:r>
          </w:p>
        </w:tc>
        <w:tc>
          <w:tcPr>
            <w:tcW w:w="1418" w:type="dxa"/>
          </w:tcPr>
          <w:p w:rsidR="00B14373" w:rsidRDefault="00B14373" w:rsidP="00293121">
            <w:pPr>
              <w:autoSpaceDE w:val="0"/>
              <w:autoSpaceDN w:val="0"/>
              <w:adjustRightInd w:val="0"/>
              <w:jc w:val="center"/>
              <w:rPr>
                <w:rFonts w:cs="Arial"/>
                <w:lang w:eastAsia="en-GB"/>
              </w:rPr>
            </w:pPr>
            <w:r>
              <w:rPr>
                <w:rFonts w:cs="Arial"/>
                <w:lang w:eastAsia="en-GB"/>
              </w:rPr>
              <w:t>£200,000</w:t>
            </w:r>
          </w:p>
        </w:tc>
        <w:tc>
          <w:tcPr>
            <w:tcW w:w="1701" w:type="dxa"/>
            <w:shd w:val="clear" w:color="auto" w:fill="auto"/>
          </w:tcPr>
          <w:p w:rsidR="00B14373" w:rsidRPr="00CF67F4" w:rsidRDefault="00B14373" w:rsidP="00257142">
            <w:pPr>
              <w:autoSpaceDE w:val="0"/>
              <w:autoSpaceDN w:val="0"/>
              <w:adjustRightInd w:val="0"/>
              <w:ind w:left="295" w:hanging="399"/>
              <w:jc w:val="center"/>
              <w:rPr>
                <w:rFonts w:cs="Arial"/>
                <w:lang w:eastAsia="en-GB"/>
              </w:rPr>
            </w:pPr>
            <w:r w:rsidRPr="00CF67F4">
              <w:rPr>
                <w:rFonts w:cs="Arial"/>
                <w:lang w:eastAsia="en-GB"/>
              </w:rPr>
              <w:t>£</w:t>
            </w:r>
            <w:r w:rsidR="002313E2" w:rsidRPr="00CF67F4">
              <w:rPr>
                <w:rFonts w:cs="Arial"/>
                <w:lang w:eastAsia="en-GB"/>
              </w:rPr>
              <w:t>3</w:t>
            </w:r>
            <w:r w:rsidRPr="00CF67F4">
              <w:rPr>
                <w:rFonts w:cs="Arial"/>
                <w:lang w:eastAsia="en-GB"/>
              </w:rPr>
              <w:t>,</w:t>
            </w:r>
            <w:r w:rsidR="002313E2" w:rsidRPr="00CF67F4">
              <w:rPr>
                <w:rFonts w:cs="Arial"/>
                <w:lang w:eastAsia="en-GB"/>
              </w:rPr>
              <w:t>33</w:t>
            </w:r>
            <w:r w:rsidR="00CF67F4" w:rsidRPr="00CF67F4">
              <w:rPr>
                <w:rFonts w:cs="Arial"/>
                <w:lang w:eastAsia="en-GB"/>
              </w:rPr>
              <w:t>7</w:t>
            </w:r>
            <w:r w:rsidRPr="00CF67F4">
              <w:rPr>
                <w:rFonts w:cs="Arial"/>
                <w:lang w:eastAsia="en-GB"/>
              </w:rPr>
              <w:t>,</w:t>
            </w:r>
            <w:r w:rsidR="002313E2" w:rsidRPr="00CF67F4">
              <w:rPr>
                <w:rFonts w:cs="Arial"/>
                <w:lang w:eastAsia="en-GB"/>
              </w:rPr>
              <w:t>1</w:t>
            </w:r>
            <w:r w:rsidR="00CF67F4" w:rsidRPr="00CF67F4">
              <w:rPr>
                <w:rFonts w:cs="Arial"/>
                <w:lang w:eastAsia="en-GB"/>
              </w:rPr>
              <w:t>6</w:t>
            </w:r>
            <w:r w:rsidR="007076C3" w:rsidRPr="00CF67F4">
              <w:rPr>
                <w:rFonts w:cs="Arial"/>
                <w:lang w:eastAsia="en-GB"/>
              </w:rPr>
              <w:t>2</w:t>
            </w:r>
          </w:p>
          <w:p w:rsidR="00AE11F0" w:rsidRDefault="0058032C" w:rsidP="00AE11F0">
            <w:pPr>
              <w:autoSpaceDE w:val="0"/>
              <w:autoSpaceDN w:val="0"/>
              <w:adjustRightInd w:val="0"/>
              <w:ind w:left="34"/>
              <w:rPr>
                <w:rFonts w:cs="Arial"/>
                <w:lang w:eastAsia="en-GB"/>
              </w:rPr>
            </w:pPr>
            <w:r>
              <w:rPr>
                <w:rFonts w:cs="Arial"/>
                <w:lang w:eastAsia="en-GB"/>
              </w:rPr>
              <w:t>(</w:t>
            </w:r>
            <w:r w:rsidR="00AE11F0" w:rsidRPr="00CF67F4">
              <w:rPr>
                <w:rFonts w:cs="Arial"/>
                <w:lang w:eastAsia="en-GB"/>
              </w:rPr>
              <w:t>£</w:t>
            </w:r>
            <w:r w:rsidR="007076C3" w:rsidRPr="00CF67F4">
              <w:rPr>
                <w:rFonts w:cs="Arial"/>
                <w:lang w:eastAsia="en-GB"/>
              </w:rPr>
              <w:t>54</w:t>
            </w:r>
            <w:r w:rsidR="00CF67F4" w:rsidRPr="00CF67F4">
              <w:rPr>
                <w:rFonts w:cs="Arial"/>
                <w:lang w:eastAsia="en-GB"/>
              </w:rPr>
              <w:t>7</w:t>
            </w:r>
            <w:r w:rsidR="00AE11F0" w:rsidRPr="00CF67F4">
              <w:rPr>
                <w:rFonts w:cs="Arial"/>
                <w:lang w:eastAsia="en-GB"/>
              </w:rPr>
              <w:t>,</w:t>
            </w:r>
            <w:r w:rsidR="00CF67F4" w:rsidRPr="00CF67F4">
              <w:rPr>
                <w:rFonts w:cs="Arial"/>
                <w:lang w:eastAsia="en-GB"/>
              </w:rPr>
              <w:t>109</w:t>
            </w:r>
            <w:r w:rsidR="00AE11F0">
              <w:rPr>
                <w:rFonts w:cs="Arial"/>
                <w:lang w:eastAsia="en-GB"/>
              </w:rPr>
              <w:t xml:space="preserve"> </w:t>
            </w:r>
            <w:r>
              <w:rPr>
                <w:rFonts w:cs="Arial"/>
                <w:lang w:eastAsia="en-GB"/>
              </w:rPr>
              <w:t>i</w:t>
            </w:r>
            <w:r w:rsidR="00AE11F0">
              <w:rPr>
                <w:rFonts w:cs="Arial"/>
                <w:lang w:eastAsia="en-GB"/>
              </w:rPr>
              <w:t xml:space="preserve">ncome </w:t>
            </w:r>
            <w:r>
              <w:rPr>
                <w:rFonts w:cs="Arial"/>
                <w:lang w:eastAsia="en-GB"/>
              </w:rPr>
              <w:t>r</w:t>
            </w:r>
            <w:r w:rsidR="00AE11F0">
              <w:rPr>
                <w:rFonts w:cs="Arial"/>
                <w:lang w:eastAsia="en-GB"/>
              </w:rPr>
              <w:t>ecovered</w:t>
            </w:r>
            <w:r w:rsidR="009D4B33">
              <w:rPr>
                <w:rFonts w:cs="Arial"/>
                <w:lang w:eastAsia="en-GB"/>
              </w:rPr>
              <w:t xml:space="preserve"> &amp;</w:t>
            </w:r>
          </w:p>
          <w:p w:rsidR="00AE11F0" w:rsidRPr="002A332E" w:rsidRDefault="00AE11F0" w:rsidP="007076C3">
            <w:pPr>
              <w:autoSpaceDE w:val="0"/>
              <w:autoSpaceDN w:val="0"/>
              <w:adjustRightInd w:val="0"/>
              <w:ind w:left="34"/>
              <w:rPr>
                <w:rFonts w:cs="Arial"/>
                <w:lang w:eastAsia="en-GB"/>
              </w:rPr>
            </w:pPr>
            <w:r>
              <w:rPr>
                <w:rFonts w:cs="Arial"/>
                <w:lang w:eastAsia="en-GB"/>
              </w:rPr>
              <w:t>£</w:t>
            </w:r>
            <w:r w:rsidR="007076C3">
              <w:rPr>
                <w:rFonts w:cs="Arial"/>
                <w:lang w:eastAsia="en-GB"/>
              </w:rPr>
              <w:t>2</w:t>
            </w:r>
            <w:r>
              <w:rPr>
                <w:rFonts w:cs="Arial"/>
                <w:lang w:eastAsia="en-GB"/>
              </w:rPr>
              <w:t>,</w:t>
            </w:r>
            <w:r w:rsidR="007076C3">
              <w:rPr>
                <w:rFonts w:cs="Arial"/>
                <w:lang w:eastAsia="en-GB"/>
              </w:rPr>
              <w:t>790</w:t>
            </w:r>
            <w:r>
              <w:rPr>
                <w:rFonts w:cs="Arial"/>
                <w:lang w:eastAsia="en-GB"/>
              </w:rPr>
              <w:t>,</w:t>
            </w:r>
            <w:r w:rsidR="007076C3">
              <w:rPr>
                <w:rFonts w:cs="Arial"/>
                <w:lang w:eastAsia="en-GB"/>
              </w:rPr>
              <w:t>053</w:t>
            </w:r>
            <w:r>
              <w:rPr>
                <w:rFonts w:cs="Arial"/>
                <w:lang w:eastAsia="en-GB"/>
              </w:rPr>
              <w:t xml:space="preserve"> losses prevented</w:t>
            </w:r>
            <w:r w:rsidR="0058032C">
              <w:rPr>
                <w:rFonts w:cs="Arial"/>
                <w:lang w:eastAsia="en-GB"/>
              </w:rPr>
              <w:t>)</w:t>
            </w:r>
          </w:p>
        </w:tc>
        <w:tc>
          <w:tcPr>
            <w:tcW w:w="3594" w:type="dxa"/>
            <w:shd w:val="clear" w:color="auto" w:fill="auto"/>
          </w:tcPr>
          <w:p w:rsidR="00B14373" w:rsidRDefault="007076C3" w:rsidP="00C45EEB">
            <w:pPr>
              <w:autoSpaceDE w:val="0"/>
              <w:autoSpaceDN w:val="0"/>
              <w:adjustRightInd w:val="0"/>
              <w:rPr>
                <w:rFonts w:cs="Arial"/>
                <w:lang w:eastAsia="en-GB"/>
              </w:rPr>
            </w:pPr>
            <w:r>
              <w:rPr>
                <w:rFonts w:cs="Arial"/>
                <w:lang w:eastAsia="en-GB"/>
              </w:rPr>
              <w:t>1661</w:t>
            </w:r>
            <w:r w:rsidR="00B14373">
              <w:rPr>
                <w:rFonts w:cs="Arial"/>
                <w:lang w:eastAsia="en-GB"/>
              </w:rPr>
              <w:t>% of annual target achieved.</w:t>
            </w:r>
          </w:p>
          <w:p w:rsidR="00B14373" w:rsidRDefault="00B14373" w:rsidP="00C45EEB">
            <w:pPr>
              <w:autoSpaceDE w:val="0"/>
              <w:autoSpaceDN w:val="0"/>
              <w:adjustRightInd w:val="0"/>
              <w:rPr>
                <w:rFonts w:cs="Arial"/>
                <w:lang w:eastAsia="en-GB"/>
              </w:rPr>
            </w:pPr>
          </w:p>
          <w:p w:rsidR="00B14373" w:rsidRPr="002A332E" w:rsidRDefault="00B14373" w:rsidP="00C45EEB">
            <w:pPr>
              <w:autoSpaceDE w:val="0"/>
              <w:autoSpaceDN w:val="0"/>
              <w:adjustRightInd w:val="0"/>
              <w:rPr>
                <w:rFonts w:cs="Arial"/>
                <w:lang w:eastAsia="en-GB"/>
              </w:rPr>
            </w:pPr>
            <w:r>
              <w:rPr>
                <w:rFonts w:cs="Arial"/>
                <w:lang w:eastAsia="en-GB"/>
              </w:rPr>
              <w:t>See Table 2 for breakdown</w:t>
            </w:r>
          </w:p>
        </w:tc>
      </w:tr>
      <w:tr w:rsidR="00B14373" w:rsidRPr="002A332E" w:rsidTr="00763979">
        <w:tc>
          <w:tcPr>
            <w:tcW w:w="1701" w:type="dxa"/>
            <w:shd w:val="clear" w:color="auto" w:fill="auto"/>
          </w:tcPr>
          <w:p w:rsidR="00B14373" w:rsidRDefault="00B14373" w:rsidP="00293121">
            <w:pPr>
              <w:autoSpaceDE w:val="0"/>
              <w:autoSpaceDN w:val="0"/>
              <w:adjustRightInd w:val="0"/>
              <w:rPr>
                <w:bCs/>
              </w:rPr>
            </w:pPr>
            <w:r>
              <w:rPr>
                <w:bCs/>
              </w:rPr>
              <w:t>Users Satisfied with Investigation Service</w:t>
            </w:r>
          </w:p>
        </w:tc>
        <w:tc>
          <w:tcPr>
            <w:tcW w:w="1418" w:type="dxa"/>
          </w:tcPr>
          <w:p w:rsidR="00B14373" w:rsidRDefault="00B14373" w:rsidP="00293121">
            <w:pPr>
              <w:autoSpaceDE w:val="0"/>
              <w:autoSpaceDN w:val="0"/>
              <w:adjustRightInd w:val="0"/>
              <w:jc w:val="center"/>
              <w:rPr>
                <w:rFonts w:cs="Arial"/>
                <w:lang w:eastAsia="en-GB"/>
              </w:rPr>
            </w:pPr>
            <w:r>
              <w:rPr>
                <w:rFonts w:cs="Arial"/>
                <w:lang w:eastAsia="en-GB"/>
              </w:rPr>
              <w:t>95%</w:t>
            </w:r>
          </w:p>
        </w:tc>
        <w:tc>
          <w:tcPr>
            <w:tcW w:w="1701" w:type="dxa"/>
            <w:shd w:val="clear" w:color="auto" w:fill="auto"/>
          </w:tcPr>
          <w:p w:rsidR="00B14373" w:rsidRDefault="00B14373" w:rsidP="00BA4032">
            <w:pPr>
              <w:autoSpaceDE w:val="0"/>
              <w:autoSpaceDN w:val="0"/>
              <w:adjustRightInd w:val="0"/>
              <w:ind w:left="-15" w:hanging="89"/>
              <w:jc w:val="center"/>
              <w:rPr>
                <w:rFonts w:cs="Arial"/>
                <w:lang w:eastAsia="en-GB"/>
              </w:rPr>
            </w:pPr>
            <w:r>
              <w:rPr>
                <w:rFonts w:cs="Arial"/>
                <w:lang w:eastAsia="en-GB"/>
              </w:rPr>
              <w:t>100%</w:t>
            </w:r>
          </w:p>
        </w:tc>
        <w:tc>
          <w:tcPr>
            <w:tcW w:w="3594" w:type="dxa"/>
            <w:shd w:val="clear" w:color="auto" w:fill="auto"/>
          </w:tcPr>
          <w:p w:rsidR="00B14373" w:rsidRDefault="00B14373" w:rsidP="001309C9">
            <w:pPr>
              <w:autoSpaceDE w:val="0"/>
              <w:autoSpaceDN w:val="0"/>
              <w:adjustRightInd w:val="0"/>
              <w:rPr>
                <w:rFonts w:cs="Arial"/>
                <w:lang w:eastAsia="en-GB"/>
              </w:rPr>
            </w:pPr>
            <w:r>
              <w:rPr>
                <w:rFonts w:cs="Arial"/>
                <w:lang w:eastAsia="en-GB"/>
              </w:rPr>
              <w:t>*100% satisfaction feedback. (see explanatory note below)</w:t>
            </w:r>
          </w:p>
        </w:tc>
      </w:tr>
    </w:tbl>
    <w:p w:rsidR="00036F46" w:rsidRDefault="00036F46" w:rsidP="00036F46">
      <w:pPr>
        <w:rPr>
          <w:rFonts w:cs="Arial"/>
        </w:rPr>
      </w:pPr>
    </w:p>
    <w:p w:rsidR="00AB4D1C" w:rsidRDefault="00AB4D1C" w:rsidP="00036F46">
      <w:pPr>
        <w:rPr>
          <w:rFonts w:cs="Arial"/>
        </w:rPr>
      </w:pPr>
    </w:p>
    <w:p w:rsidR="007F2AD3" w:rsidRDefault="007F2AD3" w:rsidP="00D637B1">
      <w:pPr>
        <w:ind w:left="270"/>
        <w:rPr>
          <w:rFonts w:cs="Arial"/>
        </w:rPr>
      </w:pPr>
    </w:p>
    <w:p w:rsidR="007F2AD3" w:rsidRDefault="00CF67F4" w:rsidP="00D637B1">
      <w:pPr>
        <w:ind w:left="270"/>
        <w:rPr>
          <w:rFonts w:cs="Arial"/>
        </w:rPr>
      </w:pPr>
      <w:r>
        <w:rPr>
          <w:rFonts w:cs="Arial"/>
        </w:rPr>
        <w:t>*</w:t>
      </w:r>
      <w:r w:rsidR="001744A4">
        <w:rPr>
          <w:rFonts w:cs="Arial"/>
        </w:rPr>
        <w:t xml:space="preserve">41 satisfaction surveys issued </w:t>
      </w:r>
      <w:r w:rsidR="00406728">
        <w:rPr>
          <w:rFonts w:cs="Arial"/>
        </w:rPr>
        <w:t xml:space="preserve">on conclusion of interviews under caution. </w:t>
      </w:r>
      <w:proofErr w:type="gramStart"/>
      <w:r w:rsidR="00406728">
        <w:rPr>
          <w:rFonts w:cs="Arial"/>
        </w:rPr>
        <w:t xml:space="preserve">29 responses, </w:t>
      </w:r>
      <w:r>
        <w:rPr>
          <w:rFonts w:cs="Arial"/>
        </w:rPr>
        <w:t xml:space="preserve">100% </w:t>
      </w:r>
      <w:r w:rsidR="00406728">
        <w:rPr>
          <w:rFonts w:cs="Arial"/>
        </w:rPr>
        <w:t xml:space="preserve">of which </w:t>
      </w:r>
      <w:r>
        <w:rPr>
          <w:rFonts w:cs="Arial"/>
        </w:rPr>
        <w:t>are either satisfied or very satisfied with the service.</w:t>
      </w:r>
      <w:proofErr w:type="gramEnd"/>
      <w:r w:rsidR="007F2AD3">
        <w:rPr>
          <w:rFonts w:cs="Arial"/>
        </w:rPr>
        <w:t xml:space="preserve"> </w:t>
      </w:r>
    </w:p>
    <w:p w:rsidR="007F2AD3" w:rsidRDefault="007F2AD3" w:rsidP="00D637B1">
      <w:pPr>
        <w:ind w:left="270"/>
        <w:rPr>
          <w:rFonts w:cs="Arial"/>
        </w:rPr>
      </w:pPr>
    </w:p>
    <w:p w:rsidR="00AB4D1C" w:rsidRDefault="00AB4D1C" w:rsidP="00036F46">
      <w:pPr>
        <w:rPr>
          <w:rFonts w:cs="Arial"/>
        </w:rPr>
      </w:pPr>
    </w:p>
    <w:p w:rsidR="00AE11F0" w:rsidRDefault="00AE11F0" w:rsidP="00036F46">
      <w:pPr>
        <w:rPr>
          <w:rFonts w:cs="Arial"/>
        </w:rPr>
      </w:pPr>
    </w:p>
    <w:p w:rsidR="00AE11F0" w:rsidRDefault="00AE11F0" w:rsidP="00036F46">
      <w:pPr>
        <w:rPr>
          <w:rFonts w:cs="Arial"/>
        </w:rPr>
      </w:pPr>
    </w:p>
    <w:p w:rsidR="00A071B3" w:rsidRDefault="00A071B3" w:rsidP="00036F46">
      <w:pPr>
        <w:rPr>
          <w:rFonts w:cs="Arial"/>
        </w:rPr>
      </w:pPr>
    </w:p>
    <w:p w:rsidR="00A071B3" w:rsidRDefault="00A071B3" w:rsidP="00036F46">
      <w:pPr>
        <w:rPr>
          <w:rFonts w:cs="Arial"/>
        </w:rPr>
      </w:pPr>
    </w:p>
    <w:p w:rsidR="00A071B3" w:rsidRDefault="00A071B3" w:rsidP="00036F46">
      <w:pPr>
        <w:rPr>
          <w:rFonts w:cs="Arial"/>
        </w:rPr>
      </w:pPr>
    </w:p>
    <w:p w:rsidR="00A071B3" w:rsidRDefault="00A071B3" w:rsidP="00036F46">
      <w:pPr>
        <w:rPr>
          <w:rFonts w:cs="Arial"/>
        </w:rPr>
      </w:pPr>
    </w:p>
    <w:p w:rsidR="009C2E88" w:rsidRDefault="009C2E88" w:rsidP="00036F46">
      <w:pPr>
        <w:rPr>
          <w:rFonts w:cs="Arial"/>
        </w:rPr>
      </w:pPr>
    </w:p>
    <w:p w:rsidR="009C2E88" w:rsidRDefault="009C2E88" w:rsidP="00036F46">
      <w:pPr>
        <w:rPr>
          <w:rFonts w:cs="Arial"/>
        </w:rPr>
      </w:pPr>
    </w:p>
    <w:p w:rsidR="009C2E88" w:rsidRDefault="009C2E88" w:rsidP="00036F46">
      <w:pPr>
        <w:rPr>
          <w:rFonts w:cs="Arial"/>
        </w:rPr>
      </w:pPr>
    </w:p>
    <w:p w:rsidR="009C2E88" w:rsidRDefault="009C2E88" w:rsidP="00036F46">
      <w:pPr>
        <w:rPr>
          <w:rFonts w:cs="Arial"/>
        </w:rPr>
      </w:pPr>
    </w:p>
    <w:p w:rsidR="009C2E88" w:rsidRDefault="009C2E88" w:rsidP="00036F46">
      <w:pPr>
        <w:rPr>
          <w:rFonts w:cs="Arial"/>
        </w:rPr>
      </w:pPr>
    </w:p>
    <w:p w:rsidR="009C2E88" w:rsidRDefault="009C2E88" w:rsidP="00036F46">
      <w:pPr>
        <w:rPr>
          <w:rFonts w:cs="Arial"/>
        </w:rPr>
      </w:pPr>
    </w:p>
    <w:p w:rsidR="009C2E88" w:rsidRDefault="009C2E88" w:rsidP="00036F46">
      <w:pPr>
        <w:rPr>
          <w:rFonts w:cs="Arial"/>
        </w:rPr>
      </w:pPr>
    </w:p>
    <w:p w:rsidR="009C2E88" w:rsidRDefault="009C2E88" w:rsidP="00036F46">
      <w:pPr>
        <w:rPr>
          <w:rFonts w:cs="Arial"/>
        </w:rPr>
      </w:pPr>
    </w:p>
    <w:p w:rsidR="00AE11F0" w:rsidRDefault="00AE11F0" w:rsidP="00036F46">
      <w:pPr>
        <w:rPr>
          <w:rFonts w:cs="Arial"/>
        </w:rPr>
      </w:pPr>
    </w:p>
    <w:p w:rsidR="00AB4D1C" w:rsidRDefault="00AB4D1C" w:rsidP="00036F46">
      <w:pPr>
        <w:rPr>
          <w:rFonts w:cs="Arial"/>
        </w:rPr>
      </w:pPr>
    </w:p>
    <w:p w:rsidR="00AB4D1C" w:rsidRDefault="00AB4D1C" w:rsidP="00036F46">
      <w:pPr>
        <w:rPr>
          <w:rFonts w:cs="Arial"/>
        </w:rPr>
      </w:pPr>
    </w:p>
    <w:p w:rsidR="002513A0" w:rsidRPr="00A314C9" w:rsidRDefault="001C2BEE" w:rsidP="00A314C9">
      <w:pPr>
        <w:pStyle w:val="ListParagraph"/>
        <w:numPr>
          <w:ilvl w:val="0"/>
          <w:numId w:val="2"/>
        </w:numPr>
        <w:rPr>
          <w:rFonts w:cs="Arial"/>
        </w:rPr>
      </w:pPr>
      <w:r>
        <w:rPr>
          <w:rFonts w:cs="Arial"/>
        </w:rPr>
        <w:t>T</w:t>
      </w:r>
      <w:r w:rsidR="00A314C9">
        <w:rPr>
          <w:rFonts w:cs="Arial"/>
        </w:rPr>
        <w:t xml:space="preserve">able </w:t>
      </w:r>
      <w:r>
        <w:rPr>
          <w:rFonts w:cs="Arial"/>
        </w:rPr>
        <w:t xml:space="preserve">2 </w:t>
      </w:r>
      <w:r w:rsidR="00A314C9">
        <w:rPr>
          <w:rFonts w:cs="Arial"/>
        </w:rPr>
        <w:t xml:space="preserve">below </w:t>
      </w:r>
      <w:r>
        <w:rPr>
          <w:rFonts w:cs="Arial"/>
        </w:rPr>
        <w:t xml:space="preserve">provides an analysis of the </w:t>
      </w:r>
      <w:r w:rsidR="00775048">
        <w:rPr>
          <w:rFonts w:cs="Arial"/>
        </w:rPr>
        <w:t>income recovered and loss avoided by the Team</w:t>
      </w:r>
      <w:r w:rsidR="001878F4">
        <w:rPr>
          <w:rFonts w:cs="Arial"/>
        </w:rPr>
        <w:t>.</w:t>
      </w:r>
    </w:p>
    <w:p w:rsidR="00AA3834" w:rsidRDefault="00AA3834" w:rsidP="00C10750">
      <w:pPr>
        <w:rPr>
          <w:rFonts w:cs="Arial"/>
        </w:rPr>
      </w:pPr>
    </w:p>
    <w:tbl>
      <w:tblPr>
        <w:tblStyle w:val="TableGrid"/>
        <w:tblW w:w="0" w:type="auto"/>
        <w:tblLook w:val="04A0" w:firstRow="1" w:lastRow="0" w:firstColumn="1" w:lastColumn="0" w:noHBand="0" w:noVBand="1"/>
      </w:tblPr>
      <w:tblGrid>
        <w:gridCol w:w="2006"/>
        <w:gridCol w:w="1587"/>
        <w:gridCol w:w="1617"/>
        <w:gridCol w:w="3312"/>
      </w:tblGrid>
      <w:tr w:rsidR="00030F54" w:rsidTr="00030F54">
        <w:tc>
          <w:tcPr>
            <w:tcW w:w="8522" w:type="dxa"/>
            <w:gridSpan w:val="4"/>
            <w:shd w:val="clear" w:color="auto" w:fill="548DD4" w:themeFill="text2" w:themeFillTint="99"/>
          </w:tcPr>
          <w:p w:rsidR="00030F54" w:rsidRPr="00030F54" w:rsidRDefault="00030F54" w:rsidP="009C2E88">
            <w:pPr>
              <w:jc w:val="center"/>
              <w:rPr>
                <w:rFonts w:cs="Arial"/>
                <w:b/>
              </w:rPr>
            </w:pPr>
            <w:r w:rsidRPr="00030F54">
              <w:rPr>
                <w:rFonts w:cs="Arial"/>
                <w:b/>
              </w:rPr>
              <w:t xml:space="preserve">Table 2 – Breakdown of Income </w:t>
            </w:r>
            <w:r>
              <w:rPr>
                <w:rFonts w:cs="Arial"/>
                <w:b/>
              </w:rPr>
              <w:t>&amp;</w:t>
            </w:r>
            <w:r w:rsidRPr="00030F54">
              <w:rPr>
                <w:rFonts w:cs="Arial"/>
                <w:b/>
              </w:rPr>
              <w:t xml:space="preserve"> Savings achieved </w:t>
            </w:r>
            <w:r w:rsidR="007830B1">
              <w:rPr>
                <w:rFonts w:cs="Arial"/>
                <w:b/>
              </w:rPr>
              <w:t xml:space="preserve">1 April </w:t>
            </w:r>
            <w:r w:rsidR="009C2E88">
              <w:rPr>
                <w:rFonts w:cs="Arial"/>
                <w:b/>
              </w:rPr>
              <w:t>2015 to           31 Januar</w:t>
            </w:r>
            <w:r w:rsidR="007830B1">
              <w:rPr>
                <w:rFonts w:cs="Arial"/>
                <w:b/>
              </w:rPr>
              <w:t xml:space="preserve">y </w:t>
            </w:r>
            <w:r w:rsidR="009C2E88">
              <w:rPr>
                <w:rFonts w:cs="Arial"/>
                <w:b/>
              </w:rPr>
              <w:t>2016</w:t>
            </w:r>
          </w:p>
        </w:tc>
      </w:tr>
      <w:tr w:rsidR="00805BB0" w:rsidTr="00257142">
        <w:tc>
          <w:tcPr>
            <w:tcW w:w="2006" w:type="dxa"/>
            <w:shd w:val="clear" w:color="auto" w:fill="548DD4" w:themeFill="text2" w:themeFillTint="99"/>
          </w:tcPr>
          <w:p w:rsidR="00832739" w:rsidRPr="00030F54" w:rsidRDefault="00832739" w:rsidP="00C10750">
            <w:pPr>
              <w:rPr>
                <w:rFonts w:cs="Arial"/>
                <w:b/>
              </w:rPr>
            </w:pPr>
          </w:p>
        </w:tc>
        <w:tc>
          <w:tcPr>
            <w:tcW w:w="1587" w:type="dxa"/>
            <w:shd w:val="clear" w:color="auto" w:fill="548DD4" w:themeFill="text2" w:themeFillTint="99"/>
          </w:tcPr>
          <w:p w:rsidR="00832739" w:rsidRPr="00030F54" w:rsidRDefault="004B20D8" w:rsidP="00C10750">
            <w:pPr>
              <w:rPr>
                <w:rFonts w:cs="Arial"/>
                <w:b/>
              </w:rPr>
            </w:pPr>
            <w:r>
              <w:rPr>
                <w:rFonts w:cs="Arial"/>
                <w:b/>
              </w:rPr>
              <w:t>Income</w:t>
            </w:r>
          </w:p>
        </w:tc>
        <w:tc>
          <w:tcPr>
            <w:tcW w:w="1617" w:type="dxa"/>
            <w:shd w:val="clear" w:color="auto" w:fill="548DD4" w:themeFill="text2" w:themeFillTint="99"/>
          </w:tcPr>
          <w:p w:rsidR="00832739" w:rsidRPr="00030F54" w:rsidRDefault="004A77C5" w:rsidP="00C10750">
            <w:pPr>
              <w:rPr>
                <w:rFonts w:cs="Arial"/>
                <w:b/>
              </w:rPr>
            </w:pPr>
            <w:r>
              <w:rPr>
                <w:rFonts w:cs="Arial"/>
                <w:b/>
              </w:rPr>
              <w:t>Loss</w:t>
            </w:r>
          </w:p>
        </w:tc>
        <w:tc>
          <w:tcPr>
            <w:tcW w:w="3312" w:type="dxa"/>
            <w:shd w:val="clear" w:color="auto" w:fill="548DD4" w:themeFill="text2" w:themeFillTint="99"/>
          </w:tcPr>
          <w:p w:rsidR="00832739" w:rsidRPr="00030F54" w:rsidRDefault="00832739" w:rsidP="00C10750">
            <w:pPr>
              <w:rPr>
                <w:rFonts w:cs="Arial"/>
                <w:b/>
              </w:rPr>
            </w:pPr>
          </w:p>
        </w:tc>
      </w:tr>
      <w:tr w:rsidR="00805BB0" w:rsidTr="00257142">
        <w:tc>
          <w:tcPr>
            <w:tcW w:w="2006" w:type="dxa"/>
            <w:shd w:val="clear" w:color="auto" w:fill="548DD4" w:themeFill="text2" w:themeFillTint="99"/>
          </w:tcPr>
          <w:p w:rsidR="00A314C9" w:rsidRPr="00030F54" w:rsidRDefault="00A314C9" w:rsidP="00C10750">
            <w:pPr>
              <w:rPr>
                <w:rFonts w:cs="Arial"/>
                <w:b/>
              </w:rPr>
            </w:pPr>
          </w:p>
        </w:tc>
        <w:tc>
          <w:tcPr>
            <w:tcW w:w="1587" w:type="dxa"/>
            <w:shd w:val="clear" w:color="auto" w:fill="548DD4" w:themeFill="text2" w:themeFillTint="99"/>
          </w:tcPr>
          <w:p w:rsidR="00A314C9" w:rsidRPr="00030F54" w:rsidRDefault="003677F2" w:rsidP="004B20D8">
            <w:pPr>
              <w:rPr>
                <w:rFonts w:cs="Arial"/>
                <w:b/>
              </w:rPr>
            </w:pPr>
            <w:r>
              <w:rPr>
                <w:rFonts w:cs="Arial"/>
                <w:b/>
              </w:rPr>
              <w:t>Generated</w:t>
            </w:r>
          </w:p>
        </w:tc>
        <w:tc>
          <w:tcPr>
            <w:tcW w:w="1617" w:type="dxa"/>
            <w:shd w:val="clear" w:color="auto" w:fill="548DD4" w:themeFill="text2" w:themeFillTint="99"/>
          </w:tcPr>
          <w:p w:rsidR="00A314C9" w:rsidRPr="00030F54" w:rsidRDefault="004A77C5" w:rsidP="00C10750">
            <w:pPr>
              <w:rPr>
                <w:rFonts w:cs="Arial"/>
                <w:b/>
              </w:rPr>
            </w:pPr>
            <w:r>
              <w:rPr>
                <w:rFonts w:cs="Arial"/>
                <w:b/>
              </w:rPr>
              <w:t>Avoidance</w:t>
            </w:r>
          </w:p>
        </w:tc>
        <w:tc>
          <w:tcPr>
            <w:tcW w:w="3312" w:type="dxa"/>
            <w:shd w:val="clear" w:color="auto" w:fill="548DD4" w:themeFill="text2" w:themeFillTint="99"/>
          </w:tcPr>
          <w:p w:rsidR="00A314C9" w:rsidRPr="00030F54" w:rsidRDefault="001878F4" w:rsidP="00C10750">
            <w:pPr>
              <w:rPr>
                <w:rFonts w:cs="Arial"/>
                <w:b/>
              </w:rPr>
            </w:pPr>
            <w:r w:rsidRPr="00030F54">
              <w:rPr>
                <w:rFonts w:cs="Arial"/>
                <w:b/>
              </w:rPr>
              <w:t>Comment</w:t>
            </w:r>
          </w:p>
        </w:tc>
      </w:tr>
      <w:tr w:rsidR="00832739" w:rsidTr="00257142">
        <w:tc>
          <w:tcPr>
            <w:tcW w:w="2006" w:type="dxa"/>
          </w:tcPr>
          <w:p w:rsidR="00832739" w:rsidRDefault="00832739" w:rsidP="00C10750">
            <w:pPr>
              <w:rPr>
                <w:rFonts w:cs="Arial"/>
              </w:rPr>
            </w:pPr>
          </w:p>
        </w:tc>
        <w:tc>
          <w:tcPr>
            <w:tcW w:w="1587" w:type="dxa"/>
          </w:tcPr>
          <w:p w:rsidR="00832739" w:rsidRDefault="00832739" w:rsidP="00694F2E">
            <w:pPr>
              <w:jc w:val="center"/>
              <w:rPr>
                <w:rFonts w:cs="Arial"/>
              </w:rPr>
            </w:pPr>
            <w:r>
              <w:rPr>
                <w:rFonts w:cs="Arial"/>
              </w:rPr>
              <w:t>£</w:t>
            </w:r>
          </w:p>
        </w:tc>
        <w:tc>
          <w:tcPr>
            <w:tcW w:w="1617" w:type="dxa"/>
          </w:tcPr>
          <w:p w:rsidR="00832739" w:rsidRDefault="00832739" w:rsidP="00694F2E">
            <w:pPr>
              <w:jc w:val="center"/>
              <w:rPr>
                <w:rFonts w:cs="Arial"/>
              </w:rPr>
            </w:pPr>
            <w:r>
              <w:rPr>
                <w:rFonts w:cs="Arial"/>
              </w:rPr>
              <w:t>£</w:t>
            </w:r>
          </w:p>
        </w:tc>
        <w:tc>
          <w:tcPr>
            <w:tcW w:w="3312" w:type="dxa"/>
          </w:tcPr>
          <w:p w:rsidR="00832739" w:rsidRDefault="00832739" w:rsidP="00C10750">
            <w:pPr>
              <w:rPr>
                <w:rFonts w:cs="Arial"/>
              </w:rPr>
            </w:pPr>
          </w:p>
        </w:tc>
      </w:tr>
      <w:tr w:rsidR="00A314C9" w:rsidTr="00257142">
        <w:tc>
          <w:tcPr>
            <w:tcW w:w="2006" w:type="dxa"/>
          </w:tcPr>
          <w:p w:rsidR="00A314C9" w:rsidRDefault="001878F4" w:rsidP="00C10750">
            <w:pPr>
              <w:rPr>
                <w:rFonts w:cs="Arial"/>
              </w:rPr>
            </w:pPr>
            <w:r>
              <w:rPr>
                <w:rFonts w:cs="Arial"/>
              </w:rPr>
              <w:t>Council Tax Reduction Scheme</w:t>
            </w:r>
          </w:p>
        </w:tc>
        <w:tc>
          <w:tcPr>
            <w:tcW w:w="1587" w:type="dxa"/>
          </w:tcPr>
          <w:p w:rsidR="00A314C9" w:rsidRDefault="00B01F9E" w:rsidP="002313E2">
            <w:pPr>
              <w:jc w:val="right"/>
              <w:rPr>
                <w:rFonts w:cs="Arial"/>
              </w:rPr>
            </w:pPr>
            <w:r>
              <w:rPr>
                <w:rFonts w:cs="Arial"/>
              </w:rPr>
              <w:t>6</w:t>
            </w:r>
            <w:r w:rsidR="002313E2">
              <w:rPr>
                <w:rFonts w:cs="Arial"/>
              </w:rPr>
              <w:t>2</w:t>
            </w:r>
            <w:r w:rsidR="005A73B0">
              <w:rPr>
                <w:rFonts w:cs="Arial"/>
              </w:rPr>
              <w:t>,</w:t>
            </w:r>
            <w:r w:rsidR="002313E2">
              <w:rPr>
                <w:rFonts w:cs="Arial"/>
              </w:rPr>
              <w:t>853</w:t>
            </w:r>
          </w:p>
        </w:tc>
        <w:tc>
          <w:tcPr>
            <w:tcW w:w="1617" w:type="dxa"/>
          </w:tcPr>
          <w:p w:rsidR="00A314C9" w:rsidRDefault="002313E2" w:rsidP="00694F2E">
            <w:pPr>
              <w:jc w:val="right"/>
              <w:rPr>
                <w:rFonts w:cs="Arial"/>
              </w:rPr>
            </w:pPr>
            <w:r>
              <w:rPr>
                <w:rFonts w:cs="Arial"/>
              </w:rPr>
              <w:t>21,053</w:t>
            </w:r>
          </w:p>
        </w:tc>
        <w:tc>
          <w:tcPr>
            <w:tcW w:w="3312" w:type="dxa"/>
          </w:tcPr>
          <w:p w:rsidR="00A314C9" w:rsidRDefault="0078570D" w:rsidP="00DC598A">
            <w:pPr>
              <w:rPr>
                <w:rFonts w:cs="Arial"/>
              </w:rPr>
            </w:pPr>
            <w:r>
              <w:rPr>
                <w:rFonts w:cs="Arial"/>
              </w:rPr>
              <w:t>Achieved through investigation of benefit claims</w:t>
            </w:r>
            <w:r w:rsidR="00187847">
              <w:rPr>
                <w:rFonts w:cs="Arial"/>
              </w:rPr>
              <w:t xml:space="preserve">, </w:t>
            </w:r>
            <w:r w:rsidR="00DC598A">
              <w:rPr>
                <w:rFonts w:cs="Arial"/>
              </w:rPr>
              <w:t>51</w:t>
            </w:r>
            <w:r w:rsidR="00187847">
              <w:rPr>
                <w:rFonts w:cs="Arial"/>
              </w:rPr>
              <w:t xml:space="preserve"> of which were closed in the period</w:t>
            </w:r>
            <w:r w:rsidR="00963CF5">
              <w:rPr>
                <w:rFonts w:cs="Arial"/>
              </w:rPr>
              <w:t>.</w:t>
            </w:r>
            <w:r w:rsidR="00FE7AC5">
              <w:rPr>
                <w:rFonts w:cs="Arial"/>
              </w:rPr>
              <w:t xml:space="preserve"> </w:t>
            </w:r>
            <w:r w:rsidR="00775048">
              <w:rPr>
                <w:rFonts w:cs="Arial"/>
              </w:rPr>
              <w:t>The loss avoided  is</w:t>
            </w:r>
            <w:r w:rsidR="00FE7AC5">
              <w:rPr>
                <w:rFonts w:cs="Arial"/>
              </w:rPr>
              <w:t xml:space="preserve"> based on a standard 32 week entitlement which is the average number of weeks a claim </w:t>
            </w:r>
            <w:r w:rsidR="00B01F9E">
              <w:rPr>
                <w:rFonts w:cs="Arial"/>
              </w:rPr>
              <w:t>may</w:t>
            </w:r>
            <w:r w:rsidR="00FE7AC5">
              <w:rPr>
                <w:rFonts w:cs="Arial"/>
              </w:rPr>
              <w:t xml:space="preserve"> have continued without intervention</w:t>
            </w:r>
          </w:p>
        </w:tc>
      </w:tr>
      <w:tr w:rsidR="00C81994" w:rsidTr="00257142">
        <w:tc>
          <w:tcPr>
            <w:tcW w:w="2006" w:type="dxa"/>
          </w:tcPr>
          <w:p w:rsidR="00C81994" w:rsidRDefault="00C81994" w:rsidP="00C10750">
            <w:pPr>
              <w:rPr>
                <w:rFonts w:cs="Arial"/>
              </w:rPr>
            </w:pPr>
            <w:r>
              <w:rPr>
                <w:rFonts w:cs="Arial"/>
              </w:rPr>
              <w:t>Right to Buy</w:t>
            </w:r>
          </w:p>
          <w:p w:rsidR="00C81994" w:rsidRDefault="00C81994" w:rsidP="00C10750">
            <w:pPr>
              <w:rPr>
                <w:rFonts w:cs="Arial"/>
              </w:rPr>
            </w:pPr>
          </w:p>
          <w:p w:rsidR="00C81994" w:rsidRDefault="00C81994" w:rsidP="00C10750">
            <w:pPr>
              <w:rPr>
                <w:rFonts w:cs="Arial"/>
              </w:rPr>
            </w:pPr>
          </w:p>
          <w:p w:rsidR="00C81994" w:rsidRDefault="00C81994" w:rsidP="00C10750">
            <w:pPr>
              <w:rPr>
                <w:rFonts w:cs="Arial"/>
              </w:rPr>
            </w:pPr>
          </w:p>
        </w:tc>
        <w:tc>
          <w:tcPr>
            <w:tcW w:w="1587" w:type="dxa"/>
          </w:tcPr>
          <w:p w:rsidR="00C81994" w:rsidRDefault="00C81994" w:rsidP="00694F2E">
            <w:pPr>
              <w:jc w:val="right"/>
              <w:rPr>
                <w:rFonts w:cs="Arial"/>
              </w:rPr>
            </w:pPr>
          </w:p>
        </w:tc>
        <w:tc>
          <w:tcPr>
            <w:tcW w:w="1617" w:type="dxa"/>
          </w:tcPr>
          <w:p w:rsidR="00C81994" w:rsidRDefault="002313E2" w:rsidP="002313E2">
            <w:pPr>
              <w:jc w:val="right"/>
              <w:rPr>
                <w:rFonts w:cs="Arial"/>
              </w:rPr>
            </w:pPr>
            <w:r>
              <w:rPr>
                <w:rFonts w:cs="Arial"/>
              </w:rPr>
              <w:t>2,337,0</w:t>
            </w:r>
            <w:r w:rsidR="00D11169">
              <w:rPr>
                <w:rFonts w:cs="Arial"/>
              </w:rPr>
              <w:t>00</w:t>
            </w:r>
          </w:p>
        </w:tc>
        <w:tc>
          <w:tcPr>
            <w:tcW w:w="3312" w:type="dxa"/>
          </w:tcPr>
          <w:p w:rsidR="00C81994" w:rsidRDefault="002313E2" w:rsidP="00B115D7">
            <w:pPr>
              <w:rPr>
                <w:rFonts w:cs="Arial"/>
              </w:rPr>
            </w:pPr>
            <w:r>
              <w:rPr>
                <w:rFonts w:cs="Arial"/>
              </w:rPr>
              <w:t>30</w:t>
            </w:r>
            <w:r w:rsidR="00C81994">
              <w:rPr>
                <w:rFonts w:cs="Arial"/>
              </w:rPr>
              <w:t xml:space="preserve"> R</w:t>
            </w:r>
            <w:r w:rsidR="007830B1">
              <w:rPr>
                <w:rFonts w:cs="Arial"/>
              </w:rPr>
              <w:t xml:space="preserve">ight </w:t>
            </w:r>
            <w:r w:rsidR="00C81994">
              <w:rPr>
                <w:rFonts w:cs="Arial"/>
              </w:rPr>
              <w:t>T</w:t>
            </w:r>
            <w:r w:rsidR="007830B1">
              <w:rPr>
                <w:rFonts w:cs="Arial"/>
              </w:rPr>
              <w:t xml:space="preserve">o </w:t>
            </w:r>
            <w:r w:rsidR="00C81994">
              <w:rPr>
                <w:rFonts w:cs="Arial"/>
              </w:rPr>
              <w:t>B</w:t>
            </w:r>
            <w:r w:rsidR="007830B1">
              <w:rPr>
                <w:rFonts w:cs="Arial"/>
              </w:rPr>
              <w:t>uy applications</w:t>
            </w:r>
            <w:r w:rsidR="00C81994">
              <w:rPr>
                <w:rFonts w:cs="Arial"/>
              </w:rPr>
              <w:t xml:space="preserve"> withdrawn following </w:t>
            </w:r>
            <w:r w:rsidR="007830B1">
              <w:rPr>
                <w:rFonts w:cs="Arial"/>
              </w:rPr>
              <w:t>intervention</w:t>
            </w:r>
            <w:r w:rsidR="00B01F9E">
              <w:rPr>
                <w:rFonts w:cs="Arial"/>
              </w:rPr>
              <w:t xml:space="preserve"> / investigation. </w:t>
            </w:r>
            <w:r>
              <w:rPr>
                <w:rFonts w:cs="Arial"/>
              </w:rPr>
              <w:t xml:space="preserve"> 30</w:t>
            </w:r>
            <w:r w:rsidR="00D11169">
              <w:rPr>
                <w:rFonts w:cs="Arial"/>
              </w:rPr>
              <w:t xml:space="preserve"> x £77,900 (max discount)</w:t>
            </w:r>
          </w:p>
        </w:tc>
      </w:tr>
      <w:tr w:rsidR="00A314C9" w:rsidTr="00257142">
        <w:tc>
          <w:tcPr>
            <w:tcW w:w="2006" w:type="dxa"/>
          </w:tcPr>
          <w:p w:rsidR="00A314C9" w:rsidRDefault="0078570D" w:rsidP="00C10750">
            <w:pPr>
              <w:rPr>
                <w:rFonts w:cs="Arial"/>
              </w:rPr>
            </w:pPr>
            <w:r>
              <w:rPr>
                <w:rFonts w:cs="Arial"/>
              </w:rPr>
              <w:t>Council Tax Discount / Exemption adjustments</w:t>
            </w:r>
          </w:p>
        </w:tc>
        <w:tc>
          <w:tcPr>
            <w:tcW w:w="1587" w:type="dxa"/>
          </w:tcPr>
          <w:p w:rsidR="00A314C9" w:rsidRDefault="002313E2" w:rsidP="00694F2E">
            <w:pPr>
              <w:jc w:val="right"/>
              <w:rPr>
                <w:rFonts w:cs="Arial"/>
              </w:rPr>
            </w:pPr>
            <w:r>
              <w:rPr>
                <w:rFonts w:cs="Arial"/>
              </w:rPr>
              <w:t>46,170</w:t>
            </w:r>
          </w:p>
        </w:tc>
        <w:tc>
          <w:tcPr>
            <w:tcW w:w="1617" w:type="dxa"/>
          </w:tcPr>
          <w:p w:rsidR="00A314C9" w:rsidRDefault="00A314C9" w:rsidP="00694F2E">
            <w:pPr>
              <w:jc w:val="right"/>
              <w:rPr>
                <w:rFonts w:cs="Arial"/>
              </w:rPr>
            </w:pPr>
          </w:p>
        </w:tc>
        <w:tc>
          <w:tcPr>
            <w:tcW w:w="3312" w:type="dxa"/>
          </w:tcPr>
          <w:p w:rsidR="00A314C9" w:rsidRDefault="00CF67F4" w:rsidP="00B115D7">
            <w:pPr>
              <w:rPr>
                <w:rFonts w:cs="Arial"/>
              </w:rPr>
            </w:pPr>
            <w:r>
              <w:rPr>
                <w:rFonts w:cs="Arial"/>
              </w:rPr>
              <w:t>In 36 cases, i</w:t>
            </w:r>
            <w:r w:rsidR="0078570D">
              <w:rPr>
                <w:rFonts w:cs="Arial"/>
              </w:rPr>
              <w:t xml:space="preserve">nvestigation determined that </w:t>
            </w:r>
            <w:r w:rsidR="0078570D" w:rsidRPr="00CF67F4">
              <w:rPr>
                <w:rFonts w:cs="Arial"/>
              </w:rPr>
              <w:t>a discount or exemption</w:t>
            </w:r>
            <w:r w:rsidRPr="00CF67F4">
              <w:rPr>
                <w:rFonts w:cs="Arial"/>
              </w:rPr>
              <w:t xml:space="preserve"> </w:t>
            </w:r>
            <w:r w:rsidR="00B115D7">
              <w:rPr>
                <w:rFonts w:cs="Arial"/>
              </w:rPr>
              <w:t>wa</w:t>
            </w:r>
            <w:r w:rsidRPr="00CF67F4">
              <w:rPr>
                <w:rFonts w:cs="Arial"/>
              </w:rPr>
              <w:t>s awarded incorre</w:t>
            </w:r>
            <w:r w:rsidR="00DB5AE5">
              <w:rPr>
                <w:rFonts w:cs="Arial"/>
              </w:rPr>
              <w:t>ctly due to customer misrepresentation</w:t>
            </w:r>
          </w:p>
        </w:tc>
      </w:tr>
      <w:tr w:rsidR="00A314C9" w:rsidTr="00257142">
        <w:tc>
          <w:tcPr>
            <w:tcW w:w="2006" w:type="dxa"/>
          </w:tcPr>
          <w:p w:rsidR="00A314C9" w:rsidRDefault="0078570D" w:rsidP="0078570D">
            <w:pPr>
              <w:rPr>
                <w:rFonts w:cs="Arial"/>
              </w:rPr>
            </w:pPr>
            <w:r>
              <w:rPr>
                <w:rFonts w:cs="Arial"/>
              </w:rPr>
              <w:t>Non Domestic Rates</w:t>
            </w:r>
          </w:p>
        </w:tc>
        <w:tc>
          <w:tcPr>
            <w:tcW w:w="1587" w:type="dxa"/>
          </w:tcPr>
          <w:p w:rsidR="00A314C9" w:rsidRDefault="0078570D" w:rsidP="00CD1191">
            <w:pPr>
              <w:jc w:val="right"/>
              <w:rPr>
                <w:rFonts w:cs="Arial"/>
              </w:rPr>
            </w:pPr>
            <w:r>
              <w:rPr>
                <w:rFonts w:cs="Arial"/>
              </w:rPr>
              <w:t>3</w:t>
            </w:r>
            <w:r w:rsidR="00CD1191">
              <w:rPr>
                <w:rFonts w:cs="Arial"/>
              </w:rPr>
              <w:t>84</w:t>
            </w:r>
            <w:r w:rsidR="005A73B0">
              <w:rPr>
                <w:rFonts w:cs="Arial"/>
              </w:rPr>
              <w:t>,</w:t>
            </w:r>
            <w:r w:rsidR="00CD1191">
              <w:rPr>
                <w:rFonts w:cs="Arial"/>
              </w:rPr>
              <w:t>328</w:t>
            </w:r>
          </w:p>
        </w:tc>
        <w:tc>
          <w:tcPr>
            <w:tcW w:w="1617" w:type="dxa"/>
          </w:tcPr>
          <w:p w:rsidR="00A314C9" w:rsidRDefault="00A314C9" w:rsidP="00694F2E">
            <w:pPr>
              <w:jc w:val="right"/>
              <w:rPr>
                <w:rFonts w:cs="Arial"/>
              </w:rPr>
            </w:pPr>
          </w:p>
        </w:tc>
        <w:tc>
          <w:tcPr>
            <w:tcW w:w="3312" w:type="dxa"/>
          </w:tcPr>
          <w:p w:rsidR="00A314C9" w:rsidRDefault="00E17DD9" w:rsidP="002313E2">
            <w:pPr>
              <w:rPr>
                <w:rFonts w:cs="Arial"/>
              </w:rPr>
            </w:pPr>
            <w:r>
              <w:rPr>
                <w:rFonts w:cs="Arial"/>
              </w:rPr>
              <w:t>9</w:t>
            </w:r>
            <w:r w:rsidR="002313E2">
              <w:rPr>
                <w:rFonts w:cs="Arial"/>
              </w:rPr>
              <w:t xml:space="preserve"> </w:t>
            </w:r>
            <w:r w:rsidR="005162E8">
              <w:rPr>
                <w:rFonts w:cs="Arial"/>
              </w:rPr>
              <w:t>accounts where i</w:t>
            </w:r>
            <w:r w:rsidR="0078570D">
              <w:rPr>
                <w:rFonts w:cs="Arial"/>
              </w:rPr>
              <w:t>nvestigation work has resulted in the discovery of unregistered business premises and the identification of reductions where no entitlement exists</w:t>
            </w:r>
          </w:p>
        </w:tc>
      </w:tr>
      <w:tr w:rsidR="00A314C9" w:rsidTr="00257142">
        <w:tc>
          <w:tcPr>
            <w:tcW w:w="2006" w:type="dxa"/>
          </w:tcPr>
          <w:p w:rsidR="00A314C9" w:rsidRDefault="0078570D" w:rsidP="00C10750">
            <w:pPr>
              <w:rPr>
                <w:rFonts w:cs="Arial"/>
              </w:rPr>
            </w:pPr>
            <w:r>
              <w:rPr>
                <w:rFonts w:cs="Arial"/>
              </w:rPr>
              <w:t>Properties Recovered</w:t>
            </w:r>
          </w:p>
        </w:tc>
        <w:tc>
          <w:tcPr>
            <w:tcW w:w="1587" w:type="dxa"/>
          </w:tcPr>
          <w:p w:rsidR="00A314C9" w:rsidRDefault="00A314C9" w:rsidP="00694F2E">
            <w:pPr>
              <w:jc w:val="right"/>
              <w:rPr>
                <w:rFonts w:cs="Arial"/>
              </w:rPr>
            </w:pPr>
          </w:p>
        </w:tc>
        <w:tc>
          <w:tcPr>
            <w:tcW w:w="1617" w:type="dxa"/>
          </w:tcPr>
          <w:p w:rsidR="00A314C9" w:rsidRDefault="00FB70FE" w:rsidP="00694F2E">
            <w:pPr>
              <w:jc w:val="right"/>
              <w:rPr>
                <w:rFonts w:cs="Arial"/>
              </w:rPr>
            </w:pPr>
            <w:r>
              <w:rPr>
                <w:rFonts w:cs="Arial"/>
              </w:rPr>
              <w:t>306</w:t>
            </w:r>
            <w:r w:rsidR="0078570D">
              <w:rPr>
                <w:rFonts w:cs="Arial"/>
              </w:rPr>
              <w:t>,000</w:t>
            </w:r>
          </w:p>
        </w:tc>
        <w:tc>
          <w:tcPr>
            <w:tcW w:w="3312" w:type="dxa"/>
          </w:tcPr>
          <w:p w:rsidR="00A314C9" w:rsidRDefault="0078570D" w:rsidP="002313E2">
            <w:pPr>
              <w:rPr>
                <w:rFonts w:cs="Arial"/>
              </w:rPr>
            </w:pPr>
            <w:r>
              <w:rPr>
                <w:rFonts w:cs="Arial"/>
              </w:rPr>
              <w:t xml:space="preserve">The cost of keeping a family in temporary accommodation </w:t>
            </w:r>
            <w:r w:rsidR="00AB4D1C">
              <w:rPr>
                <w:rFonts w:cs="Arial"/>
              </w:rPr>
              <w:t>for one year as</w:t>
            </w:r>
            <w:r>
              <w:rPr>
                <w:rFonts w:cs="Arial"/>
              </w:rPr>
              <w:t xml:space="preserve"> determined by the Audit Commission</w:t>
            </w:r>
            <w:r w:rsidR="00AB4D1C">
              <w:rPr>
                <w:rFonts w:cs="Arial"/>
              </w:rPr>
              <w:t xml:space="preserve"> - </w:t>
            </w:r>
            <w:r>
              <w:rPr>
                <w:rFonts w:cs="Arial"/>
              </w:rPr>
              <w:t>£18,000</w:t>
            </w:r>
            <w:r w:rsidR="00FE7AC5">
              <w:rPr>
                <w:rFonts w:cs="Arial"/>
              </w:rPr>
              <w:t xml:space="preserve"> per property for each of the </w:t>
            </w:r>
            <w:r w:rsidR="002313E2">
              <w:rPr>
                <w:rFonts w:cs="Arial"/>
              </w:rPr>
              <w:t>17</w:t>
            </w:r>
            <w:r w:rsidR="00FE7AC5">
              <w:rPr>
                <w:rFonts w:cs="Arial"/>
              </w:rPr>
              <w:t xml:space="preserve"> social </w:t>
            </w:r>
            <w:r w:rsidR="00B01F9E">
              <w:rPr>
                <w:rFonts w:cs="Arial"/>
              </w:rPr>
              <w:t>properties</w:t>
            </w:r>
            <w:r w:rsidR="00FE7AC5">
              <w:rPr>
                <w:rFonts w:cs="Arial"/>
              </w:rPr>
              <w:t xml:space="preserve"> recovered</w:t>
            </w:r>
          </w:p>
        </w:tc>
      </w:tr>
      <w:tr w:rsidR="00BE4419" w:rsidTr="00257142">
        <w:tc>
          <w:tcPr>
            <w:tcW w:w="2006" w:type="dxa"/>
          </w:tcPr>
          <w:p w:rsidR="00BE4419" w:rsidRDefault="00BE4419" w:rsidP="00AB4D1C">
            <w:pPr>
              <w:rPr>
                <w:rFonts w:cs="Arial"/>
              </w:rPr>
            </w:pPr>
            <w:r>
              <w:rPr>
                <w:rFonts w:cs="Arial"/>
              </w:rPr>
              <w:t xml:space="preserve">Housing Application </w:t>
            </w:r>
          </w:p>
        </w:tc>
        <w:tc>
          <w:tcPr>
            <w:tcW w:w="1587" w:type="dxa"/>
          </w:tcPr>
          <w:p w:rsidR="00BE4419" w:rsidRDefault="00BE4419" w:rsidP="00694F2E">
            <w:pPr>
              <w:jc w:val="right"/>
              <w:rPr>
                <w:rFonts w:cs="Arial"/>
              </w:rPr>
            </w:pPr>
          </w:p>
        </w:tc>
        <w:tc>
          <w:tcPr>
            <w:tcW w:w="1617" w:type="dxa"/>
          </w:tcPr>
          <w:p w:rsidR="00BE4419" w:rsidRDefault="00FB70FE" w:rsidP="003677F2">
            <w:pPr>
              <w:jc w:val="right"/>
              <w:rPr>
                <w:rFonts w:cs="Arial"/>
              </w:rPr>
            </w:pPr>
            <w:r>
              <w:rPr>
                <w:rFonts w:cs="Arial"/>
              </w:rPr>
              <w:t>1</w:t>
            </w:r>
            <w:r w:rsidR="003677F2">
              <w:rPr>
                <w:rFonts w:cs="Arial"/>
              </w:rPr>
              <w:t>26</w:t>
            </w:r>
            <w:r w:rsidR="00BE4419">
              <w:rPr>
                <w:rFonts w:cs="Arial"/>
              </w:rPr>
              <w:t>,000</w:t>
            </w:r>
          </w:p>
        </w:tc>
        <w:tc>
          <w:tcPr>
            <w:tcW w:w="3312" w:type="dxa"/>
          </w:tcPr>
          <w:p w:rsidR="00BE4419" w:rsidRDefault="003677F2" w:rsidP="00BE4419">
            <w:pPr>
              <w:rPr>
                <w:rFonts w:cs="Arial"/>
              </w:rPr>
            </w:pPr>
            <w:r>
              <w:rPr>
                <w:rFonts w:cs="Arial"/>
              </w:rPr>
              <w:t>7</w:t>
            </w:r>
            <w:r w:rsidR="00A52F2F">
              <w:rPr>
                <w:rFonts w:cs="Arial"/>
              </w:rPr>
              <w:t xml:space="preserve"> </w:t>
            </w:r>
            <w:r w:rsidR="00BE4419">
              <w:rPr>
                <w:rFonts w:cs="Arial"/>
              </w:rPr>
              <w:t>General Register Housing Application</w:t>
            </w:r>
            <w:r w:rsidR="00A52F2F">
              <w:rPr>
                <w:rFonts w:cs="Arial"/>
              </w:rPr>
              <w:t>s</w:t>
            </w:r>
            <w:r w:rsidR="00BE4419">
              <w:rPr>
                <w:rFonts w:cs="Arial"/>
              </w:rPr>
              <w:t xml:space="preserve"> stopped through investigation activity preventing temporary accommodation costs or property allocation</w:t>
            </w:r>
            <w:r w:rsidR="00B01F9E">
              <w:rPr>
                <w:rFonts w:cs="Arial"/>
              </w:rPr>
              <w:t xml:space="preserve"> - </w:t>
            </w:r>
            <w:r w:rsidR="005A73B0">
              <w:rPr>
                <w:rFonts w:cs="Arial"/>
              </w:rPr>
              <w:t xml:space="preserve"> £18,000</w:t>
            </w:r>
            <w:r w:rsidR="00A52F2F">
              <w:rPr>
                <w:rFonts w:cs="Arial"/>
              </w:rPr>
              <w:t xml:space="preserve"> per instance</w:t>
            </w:r>
          </w:p>
          <w:p w:rsidR="00DC598A" w:rsidRDefault="00DC598A" w:rsidP="00BE4419">
            <w:pPr>
              <w:rPr>
                <w:rFonts w:cs="Arial"/>
              </w:rPr>
            </w:pPr>
          </w:p>
        </w:tc>
      </w:tr>
      <w:tr w:rsidR="00884DB5" w:rsidTr="00257142">
        <w:tc>
          <w:tcPr>
            <w:tcW w:w="2006" w:type="dxa"/>
          </w:tcPr>
          <w:p w:rsidR="00884DB5" w:rsidRDefault="00884DB5" w:rsidP="00AB4D1C">
            <w:pPr>
              <w:rPr>
                <w:rFonts w:cs="Arial"/>
              </w:rPr>
            </w:pPr>
            <w:r>
              <w:rPr>
                <w:rFonts w:cs="Arial"/>
              </w:rPr>
              <w:lastRenderedPageBreak/>
              <w:t>Administrative Penalty income</w:t>
            </w:r>
          </w:p>
        </w:tc>
        <w:tc>
          <w:tcPr>
            <w:tcW w:w="1587" w:type="dxa"/>
          </w:tcPr>
          <w:p w:rsidR="00884DB5" w:rsidRDefault="00884DB5" w:rsidP="00694F2E">
            <w:pPr>
              <w:jc w:val="right"/>
              <w:rPr>
                <w:rFonts w:cs="Arial"/>
              </w:rPr>
            </w:pPr>
            <w:r>
              <w:rPr>
                <w:rFonts w:cs="Arial"/>
              </w:rPr>
              <w:t>423</w:t>
            </w:r>
          </w:p>
        </w:tc>
        <w:tc>
          <w:tcPr>
            <w:tcW w:w="1617" w:type="dxa"/>
          </w:tcPr>
          <w:p w:rsidR="00884DB5" w:rsidRDefault="00884DB5" w:rsidP="00694F2E">
            <w:pPr>
              <w:jc w:val="right"/>
              <w:rPr>
                <w:rFonts w:cs="Arial"/>
              </w:rPr>
            </w:pPr>
          </w:p>
        </w:tc>
        <w:tc>
          <w:tcPr>
            <w:tcW w:w="3312" w:type="dxa"/>
          </w:tcPr>
          <w:p w:rsidR="00884DB5" w:rsidRDefault="00F6212A" w:rsidP="00AB4D1C">
            <w:pPr>
              <w:rPr>
                <w:rFonts w:cs="Arial"/>
              </w:rPr>
            </w:pPr>
            <w:r>
              <w:rPr>
                <w:rFonts w:cs="Arial"/>
              </w:rPr>
              <w:t xml:space="preserve">50% of the fraudulent </w:t>
            </w:r>
            <w:r w:rsidR="00B115D7">
              <w:rPr>
                <w:rFonts w:cs="Arial"/>
              </w:rPr>
              <w:t>overpayment of Council Tax Reduction Scheme Allowance. 1 case.</w:t>
            </w:r>
          </w:p>
        </w:tc>
      </w:tr>
      <w:tr w:rsidR="00FB70FE" w:rsidTr="00257142">
        <w:tc>
          <w:tcPr>
            <w:tcW w:w="2006" w:type="dxa"/>
          </w:tcPr>
          <w:p w:rsidR="00FB70FE" w:rsidRDefault="00FB70FE" w:rsidP="00AB4D1C">
            <w:pPr>
              <w:rPr>
                <w:rFonts w:cs="Arial"/>
              </w:rPr>
            </w:pPr>
            <w:r>
              <w:rPr>
                <w:rFonts w:cs="Arial"/>
              </w:rPr>
              <w:t>Training Course Income</w:t>
            </w:r>
          </w:p>
          <w:p w:rsidR="00FB70FE" w:rsidRDefault="00FB70FE" w:rsidP="00AB4D1C">
            <w:pPr>
              <w:rPr>
                <w:rFonts w:cs="Arial"/>
              </w:rPr>
            </w:pPr>
          </w:p>
        </w:tc>
        <w:tc>
          <w:tcPr>
            <w:tcW w:w="1587" w:type="dxa"/>
          </w:tcPr>
          <w:p w:rsidR="00FB70FE" w:rsidRDefault="003677F2" w:rsidP="00694F2E">
            <w:pPr>
              <w:jc w:val="right"/>
              <w:rPr>
                <w:rFonts w:cs="Arial"/>
              </w:rPr>
            </w:pPr>
            <w:r>
              <w:rPr>
                <w:rFonts w:cs="Arial"/>
              </w:rPr>
              <w:t>1,511</w:t>
            </w:r>
          </w:p>
        </w:tc>
        <w:tc>
          <w:tcPr>
            <w:tcW w:w="1617" w:type="dxa"/>
          </w:tcPr>
          <w:p w:rsidR="00FB70FE" w:rsidRDefault="00FB70FE" w:rsidP="00694F2E">
            <w:pPr>
              <w:jc w:val="right"/>
              <w:rPr>
                <w:rFonts w:cs="Arial"/>
              </w:rPr>
            </w:pPr>
          </w:p>
        </w:tc>
        <w:tc>
          <w:tcPr>
            <w:tcW w:w="3312" w:type="dxa"/>
          </w:tcPr>
          <w:p w:rsidR="00FB70FE" w:rsidRDefault="003677F2" w:rsidP="00AB4D1C">
            <w:pPr>
              <w:rPr>
                <w:rFonts w:cs="Arial"/>
              </w:rPr>
            </w:pPr>
            <w:r>
              <w:rPr>
                <w:rFonts w:cs="Arial"/>
              </w:rPr>
              <w:t>Through facilitation, sale and delivery of training courses to external customers</w:t>
            </w:r>
          </w:p>
        </w:tc>
      </w:tr>
      <w:tr w:rsidR="001D5732" w:rsidTr="00257142">
        <w:tc>
          <w:tcPr>
            <w:tcW w:w="2006" w:type="dxa"/>
          </w:tcPr>
          <w:p w:rsidR="001D5732" w:rsidRDefault="001D5732" w:rsidP="00AB4D1C">
            <w:pPr>
              <w:rPr>
                <w:rFonts w:cs="Arial"/>
              </w:rPr>
            </w:pPr>
            <w:r>
              <w:rPr>
                <w:rFonts w:cs="Arial"/>
              </w:rPr>
              <w:t>Unlawful Profit Order</w:t>
            </w:r>
          </w:p>
        </w:tc>
        <w:tc>
          <w:tcPr>
            <w:tcW w:w="1587" w:type="dxa"/>
          </w:tcPr>
          <w:p w:rsidR="001D5732" w:rsidRDefault="001D5732" w:rsidP="00694F2E">
            <w:pPr>
              <w:jc w:val="right"/>
              <w:rPr>
                <w:rFonts w:cs="Arial"/>
              </w:rPr>
            </w:pPr>
            <w:r>
              <w:rPr>
                <w:rFonts w:cs="Arial"/>
              </w:rPr>
              <w:t>508</w:t>
            </w:r>
          </w:p>
        </w:tc>
        <w:tc>
          <w:tcPr>
            <w:tcW w:w="1617" w:type="dxa"/>
          </w:tcPr>
          <w:p w:rsidR="001D5732" w:rsidRDefault="001D5732" w:rsidP="00694F2E">
            <w:pPr>
              <w:jc w:val="right"/>
              <w:rPr>
                <w:rFonts w:cs="Arial"/>
              </w:rPr>
            </w:pPr>
          </w:p>
        </w:tc>
        <w:tc>
          <w:tcPr>
            <w:tcW w:w="3312" w:type="dxa"/>
          </w:tcPr>
          <w:p w:rsidR="001D5732" w:rsidRDefault="001D5732" w:rsidP="00AB4D1C">
            <w:pPr>
              <w:rPr>
                <w:rFonts w:cs="Arial"/>
              </w:rPr>
            </w:pPr>
            <w:r>
              <w:rPr>
                <w:rFonts w:cs="Arial"/>
              </w:rPr>
              <w:t>Court order imposed after a social housing investigation resulted in the discovery of an illegal sub-let.</w:t>
            </w:r>
            <w:r w:rsidR="00B115D7">
              <w:rPr>
                <w:rFonts w:cs="Arial"/>
              </w:rPr>
              <w:t xml:space="preserve"> 1 case.</w:t>
            </w:r>
          </w:p>
        </w:tc>
      </w:tr>
      <w:tr w:rsidR="00A314C9" w:rsidTr="00257142">
        <w:tc>
          <w:tcPr>
            <w:tcW w:w="2006" w:type="dxa"/>
          </w:tcPr>
          <w:p w:rsidR="00A314C9" w:rsidRDefault="00AB4D1C" w:rsidP="00AB4D1C">
            <w:pPr>
              <w:rPr>
                <w:rFonts w:cs="Arial"/>
              </w:rPr>
            </w:pPr>
            <w:r>
              <w:rPr>
                <w:rFonts w:cs="Arial"/>
              </w:rPr>
              <w:t>Compensation from Proceeds of Crime Investigations</w:t>
            </w:r>
          </w:p>
        </w:tc>
        <w:tc>
          <w:tcPr>
            <w:tcW w:w="1587" w:type="dxa"/>
          </w:tcPr>
          <w:p w:rsidR="00A314C9" w:rsidRDefault="00FB70FE" w:rsidP="00B01F9E">
            <w:pPr>
              <w:jc w:val="right"/>
              <w:rPr>
                <w:rFonts w:cs="Arial"/>
              </w:rPr>
            </w:pPr>
            <w:r>
              <w:rPr>
                <w:rFonts w:cs="Arial"/>
              </w:rPr>
              <w:t>51,316</w:t>
            </w:r>
          </w:p>
        </w:tc>
        <w:tc>
          <w:tcPr>
            <w:tcW w:w="1617" w:type="dxa"/>
          </w:tcPr>
          <w:p w:rsidR="00A314C9" w:rsidRDefault="00A314C9" w:rsidP="00694F2E">
            <w:pPr>
              <w:jc w:val="right"/>
              <w:rPr>
                <w:rFonts w:cs="Arial"/>
              </w:rPr>
            </w:pPr>
          </w:p>
        </w:tc>
        <w:tc>
          <w:tcPr>
            <w:tcW w:w="3312" w:type="dxa"/>
          </w:tcPr>
          <w:p w:rsidR="00A314C9" w:rsidRDefault="00AB4D1C" w:rsidP="00AB4D1C">
            <w:pPr>
              <w:rPr>
                <w:rFonts w:cs="Arial"/>
              </w:rPr>
            </w:pPr>
            <w:r>
              <w:rPr>
                <w:rFonts w:cs="Arial"/>
              </w:rPr>
              <w:t>From capital identified during the course of a criminal investigation, bank accounts frozen and funds confiscated after successful prosecution</w:t>
            </w:r>
          </w:p>
        </w:tc>
      </w:tr>
      <w:tr w:rsidR="00A314C9" w:rsidTr="00257142">
        <w:tc>
          <w:tcPr>
            <w:tcW w:w="2006" w:type="dxa"/>
          </w:tcPr>
          <w:p w:rsidR="00A314C9" w:rsidRDefault="00AB4D1C" w:rsidP="00AB4D1C">
            <w:pPr>
              <w:jc w:val="right"/>
              <w:rPr>
                <w:rFonts w:cs="Arial"/>
              </w:rPr>
            </w:pPr>
            <w:r>
              <w:rPr>
                <w:rFonts w:cs="Arial"/>
              </w:rPr>
              <w:t>Totals</w:t>
            </w:r>
          </w:p>
        </w:tc>
        <w:tc>
          <w:tcPr>
            <w:tcW w:w="1587" w:type="dxa"/>
          </w:tcPr>
          <w:p w:rsidR="00A314C9" w:rsidRPr="00AB4D1C" w:rsidRDefault="003677F2" w:rsidP="001D5732">
            <w:pPr>
              <w:jc w:val="right"/>
              <w:rPr>
                <w:rFonts w:cs="Arial"/>
                <w:b/>
              </w:rPr>
            </w:pPr>
            <w:r>
              <w:rPr>
                <w:rFonts w:cs="Arial"/>
                <w:b/>
              </w:rPr>
              <w:t>54</w:t>
            </w:r>
            <w:r w:rsidR="001D5732">
              <w:rPr>
                <w:rFonts w:cs="Arial"/>
                <w:b/>
              </w:rPr>
              <w:t>7</w:t>
            </w:r>
            <w:r w:rsidR="00C81994">
              <w:rPr>
                <w:rFonts w:cs="Arial"/>
                <w:b/>
              </w:rPr>
              <w:t>,</w:t>
            </w:r>
            <w:r w:rsidR="001D5732">
              <w:rPr>
                <w:rFonts w:cs="Arial"/>
                <w:b/>
              </w:rPr>
              <w:t>109</w:t>
            </w:r>
          </w:p>
        </w:tc>
        <w:tc>
          <w:tcPr>
            <w:tcW w:w="1617" w:type="dxa"/>
          </w:tcPr>
          <w:p w:rsidR="00A314C9" w:rsidRPr="00AB4D1C" w:rsidRDefault="003677F2" w:rsidP="003677F2">
            <w:pPr>
              <w:jc w:val="right"/>
              <w:rPr>
                <w:rFonts w:cs="Arial"/>
                <w:b/>
              </w:rPr>
            </w:pPr>
            <w:r>
              <w:rPr>
                <w:rFonts w:cs="Arial"/>
                <w:b/>
              </w:rPr>
              <w:t>2</w:t>
            </w:r>
            <w:r w:rsidR="00B01F9E">
              <w:rPr>
                <w:rFonts w:cs="Arial"/>
                <w:b/>
              </w:rPr>
              <w:t>,</w:t>
            </w:r>
            <w:r>
              <w:rPr>
                <w:rFonts w:cs="Arial"/>
                <w:b/>
              </w:rPr>
              <w:t>790</w:t>
            </w:r>
            <w:r w:rsidR="00C81994">
              <w:rPr>
                <w:rFonts w:cs="Arial"/>
                <w:b/>
              </w:rPr>
              <w:t>,</w:t>
            </w:r>
            <w:r>
              <w:rPr>
                <w:rFonts w:cs="Arial"/>
                <w:b/>
              </w:rPr>
              <w:t>053</w:t>
            </w:r>
          </w:p>
        </w:tc>
        <w:tc>
          <w:tcPr>
            <w:tcW w:w="3312" w:type="dxa"/>
          </w:tcPr>
          <w:p w:rsidR="00A314C9" w:rsidRPr="00AB4D1C" w:rsidRDefault="003677F2" w:rsidP="001D5732">
            <w:pPr>
              <w:jc w:val="center"/>
              <w:rPr>
                <w:rFonts w:cs="Arial"/>
                <w:b/>
              </w:rPr>
            </w:pPr>
            <w:r>
              <w:rPr>
                <w:rFonts w:cs="Arial"/>
                <w:b/>
              </w:rPr>
              <w:t>3</w:t>
            </w:r>
            <w:r w:rsidR="00805BB0">
              <w:rPr>
                <w:rFonts w:cs="Arial"/>
                <w:b/>
              </w:rPr>
              <w:t>,</w:t>
            </w:r>
            <w:r w:rsidR="00257142">
              <w:rPr>
                <w:rFonts w:cs="Arial"/>
                <w:b/>
              </w:rPr>
              <w:t>3</w:t>
            </w:r>
            <w:r>
              <w:rPr>
                <w:rFonts w:cs="Arial"/>
                <w:b/>
              </w:rPr>
              <w:t>3</w:t>
            </w:r>
            <w:r w:rsidR="001D5732">
              <w:rPr>
                <w:rFonts w:cs="Arial"/>
                <w:b/>
              </w:rPr>
              <w:t>7</w:t>
            </w:r>
            <w:r>
              <w:rPr>
                <w:rFonts w:cs="Arial"/>
                <w:b/>
              </w:rPr>
              <w:t>,</w:t>
            </w:r>
            <w:r w:rsidR="001D5732">
              <w:rPr>
                <w:rFonts w:cs="Arial"/>
                <w:b/>
              </w:rPr>
              <w:t>162</w:t>
            </w:r>
          </w:p>
        </w:tc>
      </w:tr>
    </w:tbl>
    <w:p w:rsidR="00694F2E" w:rsidRDefault="00694F2E" w:rsidP="00C10750">
      <w:pPr>
        <w:rPr>
          <w:rFonts w:cs="Arial"/>
        </w:rPr>
      </w:pPr>
    </w:p>
    <w:p w:rsidR="00694F2E" w:rsidRDefault="00694F2E" w:rsidP="00C10750">
      <w:pPr>
        <w:rPr>
          <w:rFonts w:cs="Arial"/>
        </w:rPr>
      </w:pPr>
    </w:p>
    <w:p w:rsidR="001E6847" w:rsidRDefault="00D56BB0" w:rsidP="00225E90">
      <w:pPr>
        <w:pStyle w:val="ListParagraph"/>
        <w:numPr>
          <w:ilvl w:val="0"/>
          <w:numId w:val="2"/>
        </w:numPr>
        <w:rPr>
          <w:rFonts w:cs="Arial"/>
        </w:rPr>
      </w:pPr>
      <w:r>
        <w:rPr>
          <w:rFonts w:cs="Arial"/>
        </w:rPr>
        <w:t>A</w:t>
      </w:r>
      <w:r w:rsidR="00EE4D96">
        <w:rPr>
          <w:rFonts w:cs="Arial"/>
        </w:rPr>
        <w:t xml:space="preserve">ctivity </w:t>
      </w:r>
      <w:r w:rsidR="00BF4A91">
        <w:rPr>
          <w:rFonts w:cs="Arial"/>
        </w:rPr>
        <w:t>from 1</w:t>
      </w:r>
      <w:r w:rsidR="00006D48">
        <w:rPr>
          <w:rFonts w:cs="Arial"/>
        </w:rPr>
        <w:t xml:space="preserve"> April </w:t>
      </w:r>
      <w:r w:rsidR="00BF4A91">
        <w:rPr>
          <w:rFonts w:cs="Arial"/>
        </w:rPr>
        <w:t>to 31 J</w:t>
      </w:r>
      <w:r w:rsidR="003677F2">
        <w:rPr>
          <w:rFonts w:cs="Arial"/>
        </w:rPr>
        <w:t>anuary</w:t>
      </w:r>
      <w:r w:rsidR="00BF4A91">
        <w:rPr>
          <w:rFonts w:cs="Arial"/>
        </w:rPr>
        <w:t xml:space="preserve"> 201</w:t>
      </w:r>
      <w:r w:rsidR="003677F2">
        <w:rPr>
          <w:rFonts w:cs="Arial"/>
        </w:rPr>
        <w:t>6</w:t>
      </w:r>
      <w:r w:rsidR="00BF4A91">
        <w:rPr>
          <w:rFonts w:cs="Arial"/>
        </w:rPr>
        <w:t xml:space="preserve"> </w:t>
      </w:r>
      <w:r w:rsidR="00EE4D96">
        <w:rPr>
          <w:rFonts w:cs="Arial"/>
        </w:rPr>
        <w:t>included</w:t>
      </w:r>
      <w:r w:rsidR="00C129E2">
        <w:rPr>
          <w:rFonts w:cs="Arial"/>
        </w:rPr>
        <w:t>:</w:t>
      </w:r>
    </w:p>
    <w:p w:rsidR="001E6847" w:rsidRPr="001E6847" w:rsidRDefault="001E6847" w:rsidP="001E6847">
      <w:pPr>
        <w:pStyle w:val="ListParagraph"/>
        <w:rPr>
          <w:rFonts w:cs="Arial"/>
        </w:rPr>
      </w:pPr>
    </w:p>
    <w:p w:rsidR="001E6847" w:rsidRDefault="004A5164" w:rsidP="00A52F2F">
      <w:pPr>
        <w:pStyle w:val="ListParagraph"/>
        <w:numPr>
          <w:ilvl w:val="1"/>
          <w:numId w:val="2"/>
        </w:numPr>
        <w:spacing w:before="120" w:after="120"/>
        <w:ind w:left="1083" w:hanging="357"/>
        <w:contextualSpacing w:val="0"/>
        <w:rPr>
          <w:rFonts w:cs="Arial"/>
        </w:rPr>
      </w:pPr>
      <w:r>
        <w:rPr>
          <w:rFonts w:cs="Arial"/>
        </w:rPr>
        <w:t xml:space="preserve">6 </w:t>
      </w:r>
      <w:r w:rsidR="00225E90">
        <w:rPr>
          <w:rFonts w:cs="Arial"/>
        </w:rPr>
        <w:t>caution</w:t>
      </w:r>
      <w:r w:rsidR="00BF4A91">
        <w:rPr>
          <w:rFonts w:cs="Arial"/>
        </w:rPr>
        <w:t>s</w:t>
      </w:r>
      <w:r w:rsidR="00486F1C">
        <w:rPr>
          <w:rFonts w:cs="Arial"/>
        </w:rPr>
        <w:t xml:space="preserve"> </w:t>
      </w:r>
      <w:r w:rsidR="00225E90">
        <w:rPr>
          <w:rFonts w:cs="Arial"/>
        </w:rPr>
        <w:t>administered in respect of Counci</w:t>
      </w:r>
      <w:r w:rsidR="00486F1C">
        <w:rPr>
          <w:rFonts w:cs="Arial"/>
        </w:rPr>
        <w:t>l Tax Reduction Scheme offences</w:t>
      </w:r>
    </w:p>
    <w:p w:rsidR="00884DB5" w:rsidRDefault="00884DB5" w:rsidP="00A52F2F">
      <w:pPr>
        <w:pStyle w:val="ListParagraph"/>
        <w:numPr>
          <w:ilvl w:val="1"/>
          <w:numId w:val="2"/>
        </w:numPr>
        <w:spacing w:before="120" w:after="120"/>
        <w:ind w:left="1083" w:hanging="357"/>
        <w:contextualSpacing w:val="0"/>
        <w:rPr>
          <w:rFonts w:cs="Arial"/>
        </w:rPr>
      </w:pPr>
      <w:r>
        <w:rPr>
          <w:rFonts w:cs="Arial"/>
        </w:rPr>
        <w:t>1 Administrative Penalty offered and accepted in respect of Council Tax Reduction Scheme offences</w:t>
      </w:r>
    </w:p>
    <w:p w:rsidR="002A48DC" w:rsidRDefault="00884DB5" w:rsidP="00A52F2F">
      <w:pPr>
        <w:pStyle w:val="ListParagraph"/>
        <w:numPr>
          <w:ilvl w:val="1"/>
          <w:numId w:val="2"/>
        </w:numPr>
        <w:spacing w:before="120" w:after="120"/>
        <w:ind w:left="1083" w:hanging="357"/>
        <w:contextualSpacing w:val="0"/>
        <w:rPr>
          <w:rFonts w:cs="Arial"/>
        </w:rPr>
      </w:pPr>
      <w:r>
        <w:rPr>
          <w:rFonts w:cs="Arial"/>
        </w:rPr>
        <w:t>12</w:t>
      </w:r>
      <w:r w:rsidR="000F6C67" w:rsidRPr="00AD7E29">
        <w:rPr>
          <w:rFonts w:cs="Arial"/>
        </w:rPr>
        <w:t xml:space="preserve"> </w:t>
      </w:r>
      <w:r w:rsidR="00EE4D96" w:rsidRPr="00AD7E29">
        <w:rPr>
          <w:rFonts w:cs="Arial"/>
        </w:rPr>
        <w:t xml:space="preserve">successful </w:t>
      </w:r>
      <w:r w:rsidR="000F6C67" w:rsidRPr="00AD7E29">
        <w:rPr>
          <w:rFonts w:cs="Arial"/>
        </w:rPr>
        <w:t>prosecution</w:t>
      </w:r>
      <w:r w:rsidR="00EE4D96" w:rsidRPr="00AD7E29">
        <w:rPr>
          <w:rFonts w:cs="Arial"/>
        </w:rPr>
        <w:t>s</w:t>
      </w:r>
      <w:r w:rsidR="000F6C67" w:rsidRPr="00AD7E29">
        <w:rPr>
          <w:rFonts w:cs="Arial"/>
        </w:rPr>
        <w:t xml:space="preserve"> relating to Housing Benefit and Council Tax Reduction Scheme cases. P</w:t>
      </w:r>
      <w:r w:rsidR="002A48DC" w:rsidRPr="00AD7E29">
        <w:rPr>
          <w:rFonts w:cs="Arial"/>
        </w:rPr>
        <w:t xml:space="preserve">ress releases </w:t>
      </w:r>
      <w:r w:rsidR="000F6C67" w:rsidRPr="00AD7E29">
        <w:rPr>
          <w:rFonts w:cs="Arial"/>
        </w:rPr>
        <w:t>prepared and issued for all prosecutions.</w:t>
      </w:r>
      <w:r w:rsidR="00513ABE">
        <w:rPr>
          <w:rFonts w:cs="Arial"/>
        </w:rPr>
        <w:t xml:space="preserve"> Sentences administered include:</w:t>
      </w:r>
    </w:p>
    <w:p w:rsidR="00DA0B0F" w:rsidRDefault="00DA0B0F" w:rsidP="00A52F2F">
      <w:pPr>
        <w:pStyle w:val="ListParagraph"/>
        <w:numPr>
          <w:ilvl w:val="2"/>
          <w:numId w:val="20"/>
        </w:numPr>
        <w:spacing w:before="120" w:after="120"/>
        <w:ind w:hanging="357"/>
        <w:rPr>
          <w:rFonts w:cs="Arial"/>
        </w:rPr>
      </w:pPr>
      <w:r>
        <w:rPr>
          <w:rFonts w:cs="Arial"/>
        </w:rPr>
        <w:t>3 cases with 12 month community orders</w:t>
      </w:r>
    </w:p>
    <w:p w:rsidR="00513ABE" w:rsidRDefault="00513ABE" w:rsidP="00A52F2F">
      <w:pPr>
        <w:pStyle w:val="ListParagraph"/>
        <w:numPr>
          <w:ilvl w:val="2"/>
          <w:numId w:val="20"/>
        </w:numPr>
        <w:spacing w:before="120" w:after="120"/>
        <w:ind w:hanging="357"/>
        <w:rPr>
          <w:rFonts w:cs="Arial"/>
        </w:rPr>
      </w:pPr>
      <w:r>
        <w:rPr>
          <w:rFonts w:cs="Arial"/>
        </w:rPr>
        <w:t>2 cases with 18 months custodial sentence suspended for 2 years</w:t>
      </w:r>
    </w:p>
    <w:p w:rsidR="00DA0B0F" w:rsidRDefault="00DA0B0F" w:rsidP="00A52F2F">
      <w:pPr>
        <w:pStyle w:val="ListParagraph"/>
        <w:numPr>
          <w:ilvl w:val="2"/>
          <w:numId w:val="20"/>
        </w:numPr>
        <w:spacing w:before="120" w:after="120"/>
        <w:ind w:hanging="357"/>
        <w:rPr>
          <w:rFonts w:cs="Arial"/>
        </w:rPr>
      </w:pPr>
      <w:r>
        <w:rPr>
          <w:rFonts w:cs="Arial"/>
        </w:rPr>
        <w:t>1 case with a 2 year custodial sentence</w:t>
      </w:r>
    </w:p>
    <w:p w:rsidR="00DA0B0F" w:rsidRDefault="00DA0B0F" w:rsidP="00A52F2F">
      <w:pPr>
        <w:pStyle w:val="ListParagraph"/>
        <w:numPr>
          <w:ilvl w:val="2"/>
          <w:numId w:val="20"/>
        </w:numPr>
        <w:spacing w:before="120" w:after="120"/>
        <w:ind w:hanging="357"/>
        <w:rPr>
          <w:rFonts w:cs="Arial"/>
        </w:rPr>
      </w:pPr>
      <w:r>
        <w:rPr>
          <w:rFonts w:cs="Arial"/>
        </w:rPr>
        <w:t>1 case with a 1 year custodial sentence</w:t>
      </w:r>
    </w:p>
    <w:p w:rsidR="00513ABE" w:rsidRDefault="00513ABE" w:rsidP="00A52F2F">
      <w:pPr>
        <w:pStyle w:val="ListParagraph"/>
        <w:numPr>
          <w:ilvl w:val="2"/>
          <w:numId w:val="20"/>
        </w:numPr>
        <w:spacing w:before="120" w:after="120"/>
        <w:ind w:hanging="357"/>
        <w:rPr>
          <w:rFonts w:cs="Arial"/>
        </w:rPr>
      </w:pPr>
      <w:r>
        <w:rPr>
          <w:rFonts w:cs="Arial"/>
        </w:rPr>
        <w:t>1 case with a 3 month curfew order</w:t>
      </w:r>
    </w:p>
    <w:p w:rsidR="00513ABE" w:rsidRDefault="00DA0B0F" w:rsidP="00513ABE">
      <w:pPr>
        <w:pStyle w:val="ListParagraph"/>
        <w:numPr>
          <w:ilvl w:val="2"/>
          <w:numId w:val="20"/>
        </w:numPr>
        <w:spacing w:before="120" w:after="120"/>
        <w:ind w:hanging="357"/>
        <w:contextualSpacing w:val="0"/>
        <w:rPr>
          <w:rFonts w:cs="Arial"/>
        </w:rPr>
      </w:pPr>
      <w:r>
        <w:rPr>
          <w:rFonts w:cs="Arial"/>
        </w:rPr>
        <w:t>1 case with 26 weeks custodial sentence</w:t>
      </w:r>
    </w:p>
    <w:p w:rsidR="00513ABE" w:rsidRPr="00513ABE" w:rsidRDefault="00513ABE" w:rsidP="00513ABE">
      <w:pPr>
        <w:spacing w:before="120" w:after="120"/>
        <w:ind w:left="1623"/>
        <w:rPr>
          <w:rFonts w:cs="Arial"/>
        </w:rPr>
      </w:pPr>
    </w:p>
    <w:p w:rsidR="00DA0B0F" w:rsidRPr="00884DB5" w:rsidRDefault="00884DB5" w:rsidP="00A52F2F">
      <w:pPr>
        <w:pStyle w:val="ListParagraph"/>
        <w:numPr>
          <w:ilvl w:val="1"/>
          <w:numId w:val="2"/>
        </w:numPr>
        <w:spacing w:after="120"/>
        <w:ind w:hanging="357"/>
        <w:contextualSpacing w:val="0"/>
        <w:rPr>
          <w:rFonts w:cs="Arial"/>
          <w:b/>
        </w:rPr>
      </w:pPr>
      <w:r>
        <w:rPr>
          <w:rFonts w:cs="Arial"/>
        </w:rPr>
        <w:t>The team appeared i</w:t>
      </w:r>
      <w:r w:rsidR="00DA0B0F">
        <w:rPr>
          <w:rFonts w:cs="Arial"/>
        </w:rPr>
        <w:t>n</w:t>
      </w:r>
      <w:r>
        <w:rPr>
          <w:rFonts w:cs="Arial"/>
        </w:rPr>
        <w:t xml:space="preserve"> season one of</w:t>
      </w:r>
      <w:r w:rsidR="00DA0B0F">
        <w:rPr>
          <w:rFonts w:cs="Arial"/>
        </w:rPr>
        <w:t xml:space="preserve"> “Council House Crackdown” in July, a 5 part </w:t>
      </w:r>
      <w:r w:rsidR="006E1D47">
        <w:rPr>
          <w:rFonts w:cs="Arial"/>
        </w:rPr>
        <w:t xml:space="preserve">BBC </w:t>
      </w:r>
      <w:r w:rsidR="002133FC">
        <w:rPr>
          <w:rFonts w:cs="Arial"/>
        </w:rPr>
        <w:t>television documentary detailing the work of Housing Investigators around the country. It was felt that the programme was positive and helped</w:t>
      </w:r>
      <w:r w:rsidR="006E1D47">
        <w:rPr>
          <w:rFonts w:cs="Arial"/>
        </w:rPr>
        <w:t xml:space="preserve"> to further raise </w:t>
      </w:r>
      <w:r w:rsidR="004A6E19">
        <w:rPr>
          <w:rFonts w:cs="Arial"/>
        </w:rPr>
        <w:t xml:space="preserve">the profile and </w:t>
      </w:r>
      <w:r w:rsidR="006E1D47">
        <w:rPr>
          <w:rFonts w:cs="Arial"/>
        </w:rPr>
        <w:t>awareness of tenancy fraud issues.</w:t>
      </w:r>
      <w:r>
        <w:rPr>
          <w:rFonts w:cs="Arial"/>
        </w:rPr>
        <w:t xml:space="preserve"> The programme was considered a success by the television network and season 2 was subsequently commissioned. The team have again taken part in filming and are expected to feature heavily</w:t>
      </w:r>
      <w:r w:rsidR="004A5164">
        <w:rPr>
          <w:rFonts w:cs="Arial"/>
        </w:rPr>
        <w:t xml:space="preserve"> in the next 10 episode season. </w:t>
      </w:r>
    </w:p>
    <w:p w:rsidR="00884DB5" w:rsidRDefault="00884DB5" w:rsidP="00884DB5">
      <w:pPr>
        <w:pStyle w:val="ListParagraph"/>
        <w:spacing w:after="120"/>
        <w:ind w:left="1080"/>
        <w:contextualSpacing w:val="0"/>
        <w:rPr>
          <w:rFonts w:cs="Arial"/>
          <w:b/>
        </w:rPr>
      </w:pPr>
    </w:p>
    <w:p w:rsidR="00235785" w:rsidRDefault="00235785" w:rsidP="002A48DC">
      <w:pPr>
        <w:rPr>
          <w:rFonts w:cs="Arial"/>
          <w:b/>
        </w:rPr>
      </w:pPr>
    </w:p>
    <w:p w:rsidR="00302A89" w:rsidRDefault="00302A89" w:rsidP="00036F46">
      <w:pPr>
        <w:rPr>
          <w:rFonts w:cs="Arial"/>
          <w:b/>
        </w:rPr>
      </w:pPr>
      <w:r>
        <w:rPr>
          <w:rFonts w:cs="Arial"/>
          <w:b/>
        </w:rPr>
        <w:t xml:space="preserve">     </w:t>
      </w:r>
      <w:r w:rsidR="00A35036" w:rsidRPr="00A35036">
        <w:rPr>
          <w:rFonts w:cs="Arial"/>
          <w:b/>
        </w:rPr>
        <w:t>D</w:t>
      </w:r>
      <w:r w:rsidR="0040038D">
        <w:rPr>
          <w:rFonts w:cs="Arial"/>
          <w:b/>
        </w:rPr>
        <w:t>epartment for Communities and Local Government</w:t>
      </w:r>
      <w:r w:rsidR="00A35036" w:rsidRPr="00A35036">
        <w:rPr>
          <w:rFonts w:cs="Arial"/>
          <w:b/>
        </w:rPr>
        <w:t xml:space="preserve"> </w:t>
      </w:r>
      <w:r w:rsidR="0040038D">
        <w:rPr>
          <w:rFonts w:cs="Arial"/>
          <w:b/>
        </w:rPr>
        <w:t>Grant</w:t>
      </w:r>
      <w:r w:rsidR="00140080">
        <w:rPr>
          <w:rFonts w:cs="Arial"/>
          <w:b/>
        </w:rPr>
        <w:t xml:space="preserve"> (DCLG)</w:t>
      </w:r>
      <w:r w:rsidR="0040038D">
        <w:rPr>
          <w:rFonts w:cs="Arial"/>
          <w:b/>
        </w:rPr>
        <w:t xml:space="preserve"> </w:t>
      </w:r>
      <w:r>
        <w:rPr>
          <w:rFonts w:cs="Arial"/>
          <w:b/>
        </w:rPr>
        <w:t xml:space="preserve">  </w:t>
      </w:r>
    </w:p>
    <w:p w:rsidR="00A35036" w:rsidRPr="00A35036" w:rsidRDefault="00A35036" w:rsidP="00302A89">
      <w:pPr>
        <w:ind w:firstLine="360"/>
        <w:rPr>
          <w:rFonts w:cs="Arial"/>
          <w:b/>
        </w:rPr>
      </w:pPr>
      <w:r w:rsidRPr="00A35036">
        <w:rPr>
          <w:rFonts w:cs="Arial"/>
          <w:b/>
        </w:rPr>
        <w:t>Funding / Fraud Hub</w:t>
      </w:r>
    </w:p>
    <w:p w:rsidR="00302A89" w:rsidRPr="00302A89" w:rsidRDefault="00302A89" w:rsidP="00302A89">
      <w:pPr>
        <w:rPr>
          <w:rFonts w:cs="Arial"/>
        </w:rPr>
      </w:pPr>
    </w:p>
    <w:p w:rsidR="00235785" w:rsidRPr="00E35866" w:rsidRDefault="00513ABE" w:rsidP="00E35866">
      <w:pPr>
        <w:pStyle w:val="ListParagraph"/>
        <w:numPr>
          <w:ilvl w:val="0"/>
          <w:numId w:val="2"/>
        </w:numPr>
        <w:rPr>
          <w:rFonts w:cs="Arial"/>
        </w:rPr>
      </w:pPr>
      <w:r>
        <w:rPr>
          <w:rFonts w:cs="Arial"/>
        </w:rPr>
        <w:t>Fraud</w:t>
      </w:r>
      <w:r w:rsidR="006E1D47">
        <w:rPr>
          <w:rFonts w:cs="Arial"/>
        </w:rPr>
        <w:t xml:space="preserve"> hub working arrangements</w:t>
      </w:r>
      <w:r w:rsidR="005B7A29">
        <w:rPr>
          <w:rFonts w:cs="Arial"/>
        </w:rPr>
        <w:t xml:space="preserve"> </w:t>
      </w:r>
      <w:r>
        <w:rPr>
          <w:rFonts w:cs="Arial"/>
        </w:rPr>
        <w:t>have continued to evolve</w:t>
      </w:r>
      <w:r w:rsidR="00F21D13">
        <w:rPr>
          <w:rFonts w:cs="Arial"/>
        </w:rPr>
        <w:t xml:space="preserve"> in accordance with the funding award from the DCLG,</w:t>
      </w:r>
      <w:r>
        <w:rPr>
          <w:rFonts w:cs="Arial"/>
        </w:rPr>
        <w:t xml:space="preserve"> with significant milestones </w:t>
      </w:r>
      <w:r w:rsidR="00F21D13">
        <w:rPr>
          <w:rFonts w:cs="Arial"/>
        </w:rPr>
        <w:t>achieved:</w:t>
      </w:r>
    </w:p>
    <w:p w:rsidR="00285BDB" w:rsidRDefault="00F21D13" w:rsidP="00285BDB">
      <w:pPr>
        <w:pStyle w:val="ListParagraph"/>
        <w:numPr>
          <w:ilvl w:val="0"/>
          <w:numId w:val="15"/>
        </w:numPr>
        <w:rPr>
          <w:rFonts w:cs="Arial"/>
        </w:rPr>
      </w:pPr>
      <w:r w:rsidRPr="00285BDB">
        <w:rPr>
          <w:rFonts w:cs="Arial"/>
        </w:rPr>
        <w:t xml:space="preserve">Business Agreement in place with </w:t>
      </w:r>
      <w:r w:rsidR="00753DFC" w:rsidRPr="00285BDB">
        <w:rPr>
          <w:rFonts w:cs="Arial"/>
        </w:rPr>
        <w:t xml:space="preserve">South Oxfordshire District Council and Vale of White Horse District Council for </w:t>
      </w:r>
      <w:r w:rsidRPr="00285BDB">
        <w:rPr>
          <w:rFonts w:cs="Arial"/>
        </w:rPr>
        <w:t xml:space="preserve">the </w:t>
      </w:r>
      <w:r w:rsidR="00753DFC" w:rsidRPr="00285BDB">
        <w:rPr>
          <w:rFonts w:cs="Arial"/>
        </w:rPr>
        <w:t>provision of</w:t>
      </w:r>
      <w:r w:rsidR="000168F7" w:rsidRPr="00285BDB">
        <w:rPr>
          <w:rFonts w:cs="Arial"/>
        </w:rPr>
        <w:t xml:space="preserve"> corporate</w:t>
      </w:r>
      <w:r w:rsidR="00753DFC" w:rsidRPr="00285BDB">
        <w:rPr>
          <w:rFonts w:cs="Arial"/>
        </w:rPr>
        <w:t xml:space="preserve"> investigation services</w:t>
      </w:r>
      <w:r w:rsidR="004E4791">
        <w:rPr>
          <w:rFonts w:cs="Arial"/>
        </w:rPr>
        <w:t>, which has been live since mid-January 2016. In one month of operation, Housing Benefit overpayments of £31,500 have been identified, as well as Council Tax Reduction Scheme overpayments of £7,500</w:t>
      </w:r>
      <w:r w:rsidR="006E047C">
        <w:rPr>
          <w:rFonts w:cs="Arial"/>
        </w:rPr>
        <w:t>. Additionally, 2 Administrative Penalties have been administered to the value of £900.</w:t>
      </w:r>
    </w:p>
    <w:p w:rsidR="00753DFC" w:rsidRPr="00285BDB" w:rsidRDefault="00F21D13" w:rsidP="00285BDB">
      <w:pPr>
        <w:pStyle w:val="ListParagraph"/>
        <w:numPr>
          <w:ilvl w:val="0"/>
          <w:numId w:val="15"/>
        </w:numPr>
        <w:rPr>
          <w:rFonts w:cs="Arial"/>
        </w:rPr>
      </w:pPr>
      <w:r w:rsidRPr="00285BDB">
        <w:rPr>
          <w:rFonts w:cs="Arial"/>
        </w:rPr>
        <w:t>Business Agreement in place with</w:t>
      </w:r>
      <w:r w:rsidR="00753DFC" w:rsidRPr="00285BDB">
        <w:rPr>
          <w:rFonts w:cs="Arial"/>
        </w:rPr>
        <w:t xml:space="preserve"> </w:t>
      </w:r>
      <w:r w:rsidR="000168F7" w:rsidRPr="00285BDB">
        <w:rPr>
          <w:rFonts w:cs="Arial"/>
        </w:rPr>
        <w:t xml:space="preserve">Oxfordshire </w:t>
      </w:r>
      <w:r w:rsidR="00753DFC" w:rsidRPr="00285BDB">
        <w:rPr>
          <w:rFonts w:cs="Arial"/>
        </w:rPr>
        <w:t>County Council</w:t>
      </w:r>
      <w:r w:rsidR="00493366" w:rsidRPr="00285BDB">
        <w:rPr>
          <w:rFonts w:cs="Arial"/>
        </w:rPr>
        <w:t xml:space="preserve"> </w:t>
      </w:r>
      <w:r w:rsidRPr="00285BDB">
        <w:rPr>
          <w:rFonts w:cs="Arial"/>
        </w:rPr>
        <w:t>f</w:t>
      </w:r>
      <w:r w:rsidR="00753DFC" w:rsidRPr="00285BDB">
        <w:rPr>
          <w:rFonts w:cs="Arial"/>
        </w:rPr>
        <w:t>or the provision of investigation services</w:t>
      </w:r>
      <w:r w:rsidRPr="00285BDB">
        <w:rPr>
          <w:rFonts w:cs="Arial"/>
        </w:rPr>
        <w:t>, which is now live.</w:t>
      </w:r>
      <w:r w:rsidR="00285BDB" w:rsidRPr="00285BDB">
        <w:rPr>
          <w:rFonts w:cs="Arial"/>
        </w:rPr>
        <w:t xml:space="preserve"> The team is providing an end to end investigation function which includes receiving and risk assessing referrals, logging, reporting, investigating and taking sanction action where appropriate.</w:t>
      </w:r>
    </w:p>
    <w:p w:rsidR="00F21D13" w:rsidRDefault="00F21D13" w:rsidP="00235785">
      <w:pPr>
        <w:pStyle w:val="ListParagraph"/>
        <w:numPr>
          <w:ilvl w:val="0"/>
          <w:numId w:val="15"/>
        </w:numPr>
        <w:rPr>
          <w:rFonts w:cs="Arial"/>
        </w:rPr>
      </w:pPr>
      <w:r>
        <w:rPr>
          <w:rFonts w:cs="Arial"/>
        </w:rPr>
        <w:t>New staff appointed to Team Structure</w:t>
      </w:r>
      <w:r w:rsidR="0064013D">
        <w:rPr>
          <w:rFonts w:cs="Arial"/>
        </w:rPr>
        <w:t xml:space="preserve"> on fixed term appointments, </w:t>
      </w:r>
      <w:r w:rsidR="00285BDB">
        <w:rPr>
          <w:rFonts w:cs="Arial"/>
        </w:rPr>
        <w:t>made possible with DCLG funding (see Appendix 1):</w:t>
      </w:r>
    </w:p>
    <w:p w:rsidR="0064013D" w:rsidRDefault="0064013D" w:rsidP="0064013D">
      <w:pPr>
        <w:pStyle w:val="ListParagraph"/>
        <w:numPr>
          <w:ilvl w:val="1"/>
          <w:numId w:val="15"/>
        </w:numPr>
        <w:rPr>
          <w:rFonts w:cs="Arial"/>
        </w:rPr>
      </w:pPr>
      <w:r>
        <w:rPr>
          <w:rFonts w:cs="Arial"/>
        </w:rPr>
        <w:t>Senior Investigation Officer / Project Manager – 18 months FTC</w:t>
      </w:r>
    </w:p>
    <w:p w:rsidR="0064013D" w:rsidRDefault="0064013D" w:rsidP="0064013D">
      <w:pPr>
        <w:pStyle w:val="ListParagraph"/>
        <w:numPr>
          <w:ilvl w:val="1"/>
          <w:numId w:val="15"/>
        </w:numPr>
        <w:rPr>
          <w:rFonts w:cs="Arial"/>
        </w:rPr>
      </w:pPr>
      <w:r>
        <w:rPr>
          <w:rFonts w:cs="Arial"/>
        </w:rPr>
        <w:t>Senior Investigation Officer – 6 months FTC (covering long term absence)</w:t>
      </w:r>
    </w:p>
    <w:p w:rsidR="0064013D" w:rsidRDefault="0064013D" w:rsidP="0064013D">
      <w:pPr>
        <w:pStyle w:val="ListParagraph"/>
        <w:numPr>
          <w:ilvl w:val="1"/>
          <w:numId w:val="15"/>
        </w:numPr>
        <w:rPr>
          <w:rFonts w:cs="Arial"/>
        </w:rPr>
      </w:pPr>
      <w:r>
        <w:rPr>
          <w:rFonts w:cs="Arial"/>
        </w:rPr>
        <w:t>Intelligence Officer – 18 month FTC</w:t>
      </w:r>
    </w:p>
    <w:p w:rsidR="0064013D" w:rsidRDefault="0064013D" w:rsidP="0064013D">
      <w:pPr>
        <w:pStyle w:val="ListParagraph"/>
        <w:numPr>
          <w:ilvl w:val="1"/>
          <w:numId w:val="15"/>
        </w:numPr>
        <w:rPr>
          <w:rFonts w:cs="Arial"/>
        </w:rPr>
      </w:pPr>
      <w:r>
        <w:rPr>
          <w:rFonts w:cs="Arial"/>
        </w:rPr>
        <w:t>Investigation Officer – 18 month FTC</w:t>
      </w:r>
    </w:p>
    <w:p w:rsidR="00285BDB" w:rsidRPr="00285BDB" w:rsidRDefault="0064013D" w:rsidP="00285BDB">
      <w:pPr>
        <w:pStyle w:val="ListParagraph"/>
        <w:numPr>
          <w:ilvl w:val="0"/>
          <w:numId w:val="15"/>
        </w:numPr>
        <w:rPr>
          <w:rFonts w:cs="Arial"/>
        </w:rPr>
      </w:pPr>
      <w:r w:rsidRPr="00285BDB">
        <w:rPr>
          <w:rFonts w:cs="Arial"/>
        </w:rPr>
        <w:t>Proactive Blue Badge Enforcement exercise undertaken on behalf of the County Council under the terms of the Business Agreement. 11 badges seized over the course of a 3 day exercise. The badges had either expired or were being misused. Further action against the badge users is now being considered. Positive publicity through press and radio news articles and County Council member support were attached to the exercise.</w:t>
      </w:r>
    </w:p>
    <w:p w:rsidR="0064013D" w:rsidRDefault="0064013D" w:rsidP="0064013D">
      <w:pPr>
        <w:pStyle w:val="ListParagraph"/>
        <w:numPr>
          <w:ilvl w:val="0"/>
          <w:numId w:val="15"/>
        </w:numPr>
        <w:rPr>
          <w:rFonts w:cs="Arial"/>
        </w:rPr>
      </w:pPr>
      <w:r>
        <w:rPr>
          <w:rFonts w:cs="Arial"/>
        </w:rPr>
        <w:t xml:space="preserve">The newly acquired Data Warehouse </w:t>
      </w:r>
      <w:r w:rsidR="0021614D">
        <w:rPr>
          <w:rFonts w:cs="Arial"/>
        </w:rPr>
        <w:t xml:space="preserve">system is in use at a local level. Proof of concept matching is underway with short, medium and long term plans being developed to provide a robust data matching and risk profiling service for the City Council. The service will also be marketed to the surrounding Districts and to the County Council. An agreement has already been reached with the County </w:t>
      </w:r>
      <w:r w:rsidR="00F6212A">
        <w:rPr>
          <w:rFonts w:cs="Arial"/>
        </w:rPr>
        <w:t xml:space="preserve">Council </w:t>
      </w:r>
      <w:r w:rsidR="0021614D">
        <w:rPr>
          <w:rFonts w:cs="Arial"/>
        </w:rPr>
        <w:t xml:space="preserve">to supply a Council Tax data matching service from April 2016. Specific business and data sharing agreements are in the process of being finalised. </w:t>
      </w:r>
    </w:p>
    <w:p w:rsidR="0064013D" w:rsidRPr="0064013D" w:rsidRDefault="0064013D" w:rsidP="0064013D">
      <w:pPr>
        <w:ind w:left="1440"/>
        <w:rPr>
          <w:rFonts w:cs="Arial"/>
        </w:rPr>
      </w:pPr>
    </w:p>
    <w:p w:rsidR="00694F2E" w:rsidRDefault="00694F2E" w:rsidP="00061BBD">
      <w:pPr>
        <w:rPr>
          <w:rFonts w:cs="Arial"/>
        </w:rPr>
      </w:pPr>
    </w:p>
    <w:p w:rsidR="0069448D" w:rsidRDefault="0069448D" w:rsidP="00061BBD">
      <w:pPr>
        <w:rPr>
          <w:rFonts w:cs="Arial"/>
        </w:rPr>
      </w:pPr>
    </w:p>
    <w:p w:rsidR="0069448D" w:rsidRDefault="0069448D" w:rsidP="00061BBD">
      <w:pPr>
        <w:rPr>
          <w:rFonts w:cs="Arial"/>
        </w:rPr>
      </w:pPr>
    </w:p>
    <w:p w:rsidR="0069448D" w:rsidRDefault="0069448D" w:rsidP="00061BBD">
      <w:pPr>
        <w:rPr>
          <w:rFonts w:cs="Arial"/>
        </w:rPr>
      </w:pPr>
    </w:p>
    <w:p w:rsidR="0069448D" w:rsidRDefault="0069448D" w:rsidP="00061BBD">
      <w:pPr>
        <w:rPr>
          <w:rFonts w:cs="Arial"/>
        </w:rPr>
      </w:pPr>
    </w:p>
    <w:p w:rsidR="001974C0" w:rsidRDefault="00302A89" w:rsidP="00061BBD">
      <w:pPr>
        <w:rPr>
          <w:rFonts w:cs="Arial"/>
          <w:b/>
        </w:rPr>
      </w:pPr>
      <w:r>
        <w:rPr>
          <w:rFonts w:cs="Arial"/>
          <w:b/>
        </w:rPr>
        <w:lastRenderedPageBreak/>
        <w:t xml:space="preserve">      </w:t>
      </w:r>
      <w:r w:rsidR="001974C0" w:rsidRPr="00061BBD">
        <w:rPr>
          <w:rFonts w:cs="Arial"/>
          <w:b/>
        </w:rPr>
        <w:t>Fraud and Error Reduction Incentive Scheme (FERIS)</w:t>
      </w:r>
    </w:p>
    <w:p w:rsidR="00302A89" w:rsidRPr="00061BBD" w:rsidRDefault="00302A89" w:rsidP="00061BBD">
      <w:pPr>
        <w:rPr>
          <w:rFonts w:cs="Arial"/>
          <w:b/>
        </w:rPr>
      </w:pPr>
    </w:p>
    <w:p w:rsidR="00285BDB" w:rsidRDefault="00364C98" w:rsidP="00E35866">
      <w:pPr>
        <w:pStyle w:val="ListParagraph"/>
        <w:numPr>
          <w:ilvl w:val="0"/>
          <w:numId w:val="2"/>
        </w:numPr>
        <w:rPr>
          <w:rFonts w:cs="Arial"/>
        </w:rPr>
      </w:pPr>
      <w:r>
        <w:rPr>
          <w:rFonts w:cs="Arial"/>
        </w:rPr>
        <w:t xml:space="preserve">The Council </w:t>
      </w:r>
      <w:r w:rsidR="000168F7">
        <w:rPr>
          <w:rFonts w:cs="Arial"/>
        </w:rPr>
        <w:t xml:space="preserve">were successful in bidding </w:t>
      </w:r>
      <w:r>
        <w:rPr>
          <w:rFonts w:cs="Arial"/>
        </w:rPr>
        <w:t xml:space="preserve">to </w:t>
      </w:r>
      <w:r w:rsidR="00061BBD">
        <w:rPr>
          <w:rFonts w:cs="Arial"/>
        </w:rPr>
        <w:t>the Department for Work and Pensions</w:t>
      </w:r>
      <w:r w:rsidR="000168F7">
        <w:rPr>
          <w:rFonts w:cs="Arial"/>
        </w:rPr>
        <w:t xml:space="preserve"> for funds connected </w:t>
      </w:r>
      <w:r w:rsidR="00061BBD">
        <w:rPr>
          <w:rFonts w:cs="Arial"/>
        </w:rPr>
        <w:t>the FERIS scheme</w:t>
      </w:r>
      <w:r w:rsidR="00CB5690">
        <w:rPr>
          <w:rFonts w:cs="Arial"/>
        </w:rPr>
        <w:t xml:space="preserve">, </w:t>
      </w:r>
      <w:r w:rsidR="00285BDB">
        <w:rPr>
          <w:rFonts w:cs="Arial"/>
        </w:rPr>
        <w:t xml:space="preserve">which resulted in the appointment of a Visiting Officer to the team for a 12 month period. The officer is involved in conducting risk based visits to Housing </w:t>
      </w:r>
      <w:r w:rsidR="0082325F">
        <w:rPr>
          <w:rFonts w:cs="Arial"/>
        </w:rPr>
        <w:t>Benefit customers</w:t>
      </w:r>
      <w:r w:rsidR="00285BDB">
        <w:rPr>
          <w:rFonts w:cs="Arial"/>
        </w:rPr>
        <w:t xml:space="preserve"> to identify potential unreported changes in circumstances.</w:t>
      </w:r>
    </w:p>
    <w:p w:rsidR="00285BDB" w:rsidRDefault="00285BDB" w:rsidP="00285BDB">
      <w:pPr>
        <w:pStyle w:val="ListParagraph"/>
        <w:ind w:left="360"/>
        <w:rPr>
          <w:rFonts w:cs="Arial"/>
        </w:rPr>
      </w:pPr>
    </w:p>
    <w:p w:rsidR="0082325F" w:rsidRDefault="0082325F" w:rsidP="0082325F">
      <w:pPr>
        <w:pStyle w:val="ListParagraph"/>
        <w:numPr>
          <w:ilvl w:val="0"/>
          <w:numId w:val="2"/>
        </w:numPr>
        <w:rPr>
          <w:rFonts w:cs="Arial"/>
        </w:rPr>
      </w:pPr>
      <w:r>
        <w:rPr>
          <w:rFonts w:cs="Arial"/>
        </w:rPr>
        <w:t xml:space="preserve">South Oxfordshire and Vale of White Horse District Councils were also successful with their FERIS funding </w:t>
      </w:r>
      <w:proofErr w:type="gramStart"/>
      <w:r>
        <w:rPr>
          <w:rFonts w:cs="Arial"/>
        </w:rPr>
        <w:t>applications, the premise of which was</w:t>
      </w:r>
      <w:proofErr w:type="gramEnd"/>
      <w:r>
        <w:rPr>
          <w:rFonts w:cs="Arial"/>
        </w:rPr>
        <w:t xml:space="preserve"> for Oxford City Council Investigation Team to managing and deliver FERIS visiting activity on their behalf. A Business Agreement is in place to cover this area of work.</w:t>
      </w:r>
    </w:p>
    <w:p w:rsidR="0082325F" w:rsidRPr="0082325F" w:rsidRDefault="0082325F" w:rsidP="0082325F">
      <w:pPr>
        <w:rPr>
          <w:rFonts w:cs="Arial"/>
        </w:rPr>
      </w:pPr>
    </w:p>
    <w:p w:rsidR="001850B6" w:rsidRPr="00921560" w:rsidRDefault="001850B6" w:rsidP="00E35866">
      <w:pPr>
        <w:pStyle w:val="ListParagraph"/>
        <w:numPr>
          <w:ilvl w:val="0"/>
          <w:numId w:val="2"/>
        </w:numPr>
        <w:rPr>
          <w:rFonts w:cs="Arial"/>
        </w:rPr>
      </w:pPr>
      <w:r>
        <w:rPr>
          <w:rFonts w:cs="Arial"/>
        </w:rPr>
        <w:t xml:space="preserve">The aim of the FERIS scheme is to reduce the overall level of Housing Benefit spend by identifying </w:t>
      </w:r>
      <w:r w:rsidR="00365ADB">
        <w:rPr>
          <w:rFonts w:cs="Arial"/>
        </w:rPr>
        <w:t>errors and unreported changes in customer circumstances.</w:t>
      </w:r>
      <w:r w:rsidR="0082325F">
        <w:rPr>
          <w:rFonts w:cs="Arial"/>
        </w:rPr>
        <w:t xml:space="preserve"> A reduced Housing Benefit spend attracts government subsidy under the scheme when certain thresholds are met. The targets set by the Department for Work and Pensions have widely been considered as too stringent and difficult to achieve. As a result, the FERIS </w:t>
      </w:r>
      <w:r w:rsidR="0082325F" w:rsidRPr="00921560">
        <w:rPr>
          <w:rFonts w:cs="Arial"/>
        </w:rPr>
        <w:t xml:space="preserve">related activity has not </w:t>
      </w:r>
      <w:r w:rsidR="004B68AE" w:rsidRPr="00921560">
        <w:rPr>
          <w:rFonts w:cs="Arial"/>
        </w:rPr>
        <w:t xml:space="preserve">achieved </w:t>
      </w:r>
      <w:r w:rsidR="0082325F" w:rsidRPr="00921560">
        <w:rPr>
          <w:rFonts w:cs="Arial"/>
        </w:rPr>
        <w:t>subsidy award for either the City Council, or for South and Vale Councils.</w:t>
      </w:r>
      <w:r w:rsidR="00921560" w:rsidRPr="00921560">
        <w:rPr>
          <w:rFonts w:cs="Arial"/>
        </w:rPr>
        <w:t xml:space="preserve"> This outcome is consistent with all other Local Authorities who participated in the scheme.</w:t>
      </w:r>
    </w:p>
    <w:p w:rsidR="0082325F" w:rsidRPr="0082325F" w:rsidRDefault="0082325F" w:rsidP="0082325F">
      <w:pPr>
        <w:pStyle w:val="ListParagraph"/>
        <w:rPr>
          <w:rFonts w:cs="Arial"/>
        </w:rPr>
      </w:pPr>
    </w:p>
    <w:p w:rsidR="0082325F" w:rsidRDefault="0082325F" w:rsidP="0082325F">
      <w:pPr>
        <w:pStyle w:val="ListParagraph"/>
        <w:numPr>
          <w:ilvl w:val="0"/>
          <w:numId w:val="2"/>
        </w:numPr>
        <w:rPr>
          <w:rFonts w:cs="Arial"/>
        </w:rPr>
      </w:pPr>
      <w:r>
        <w:rPr>
          <w:rFonts w:cs="Arial"/>
        </w:rPr>
        <w:t>A recent announcement by the DWP has stated that the FERIS scheme will continue for a further 12 months. The targ</w:t>
      </w:r>
      <w:r w:rsidR="004B68AE">
        <w:rPr>
          <w:rFonts w:cs="Arial"/>
        </w:rPr>
        <w:t>ets have been adjusted to allow</w:t>
      </w:r>
      <w:r>
        <w:rPr>
          <w:rFonts w:cs="Arial"/>
        </w:rPr>
        <w:t xml:space="preserve"> local authorities a reasonable chance of receiving subsidy through the scheme through further initiatives. Oxford City Council will be submitting bids to secure funding </w:t>
      </w:r>
      <w:r w:rsidR="004B68AE">
        <w:rPr>
          <w:rFonts w:cs="Arial"/>
        </w:rPr>
        <w:t>made available through the scheme and will seek to continue to provide a service to South and Vale Councils.</w:t>
      </w:r>
    </w:p>
    <w:p w:rsidR="004B68AE" w:rsidRPr="004B68AE" w:rsidRDefault="004B68AE" w:rsidP="004B68AE">
      <w:pPr>
        <w:pStyle w:val="ListParagraph"/>
        <w:rPr>
          <w:rFonts w:cs="Arial"/>
        </w:rPr>
      </w:pPr>
    </w:p>
    <w:p w:rsidR="004B68AE" w:rsidRDefault="004B68AE" w:rsidP="004B68AE">
      <w:pPr>
        <w:ind w:firstLine="360"/>
        <w:rPr>
          <w:rFonts w:cs="Arial"/>
          <w:b/>
        </w:rPr>
      </w:pPr>
      <w:proofErr w:type="gramStart"/>
      <w:r>
        <w:rPr>
          <w:rFonts w:cs="Arial"/>
          <w:b/>
        </w:rPr>
        <w:t>Protecting the English Public Purse Fraud Briefing 2015.</w:t>
      </w:r>
      <w:proofErr w:type="gramEnd"/>
    </w:p>
    <w:p w:rsidR="004B68AE" w:rsidRDefault="004B68AE" w:rsidP="004B68AE">
      <w:pPr>
        <w:ind w:firstLine="360"/>
        <w:rPr>
          <w:rFonts w:cs="Arial"/>
          <w:b/>
        </w:rPr>
      </w:pPr>
    </w:p>
    <w:p w:rsidR="004B68AE" w:rsidRPr="00D24B20" w:rsidRDefault="004B68AE" w:rsidP="004B68AE">
      <w:pPr>
        <w:pStyle w:val="ListParagraph"/>
        <w:numPr>
          <w:ilvl w:val="0"/>
          <w:numId w:val="2"/>
        </w:numPr>
        <w:rPr>
          <w:rFonts w:cs="Arial"/>
          <w:b/>
        </w:rPr>
      </w:pPr>
      <w:r>
        <w:rPr>
          <w:rFonts w:cs="Arial"/>
        </w:rPr>
        <w:t xml:space="preserve">TEICCAF (The European Institute for Combatting Corruption and Fraud), is a newly formed not for profit pan European public, private and voluntary sector forum. Part of the services offered by the organisation include conducting fraud and corruption surveys to replace the void left by the abolition of the Audit Commission, and its </w:t>
      </w:r>
      <w:r w:rsidR="00D24B20">
        <w:rPr>
          <w:rFonts w:cs="Arial"/>
        </w:rPr>
        <w:t>“Protecting the Public Purse” reports.</w:t>
      </w:r>
    </w:p>
    <w:p w:rsidR="00D24B20" w:rsidRDefault="00D24B20" w:rsidP="00D24B20">
      <w:pPr>
        <w:rPr>
          <w:rFonts w:cs="Arial"/>
          <w:b/>
        </w:rPr>
      </w:pPr>
    </w:p>
    <w:p w:rsidR="00D24B20" w:rsidRPr="00921560" w:rsidRDefault="00D24B20" w:rsidP="00D24B20">
      <w:pPr>
        <w:pStyle w:val="ListParagraph"/>
        <w:numPr>
          <w:ilvl w:val="0"/>
          <w:numId w:val="2"/>
        </w:numPr>
        <w:rPr>
          <w:rFonts w:cs="Arial"/>
          <w:b/>
        </w:rPr>
      </w:pPr>
      <w:r w:rsidRPr="00921560">
        <w:rPr>
          <w:rFonts w:cs="Arial"/>
        </w:rPr>
        <w:t xml:space="preserve">The team </w:t>
      </w:r>
      <w:r w:rsidR="00921560">
        <w:rPr>
          <w:rFonts w:cs="Arial"/>
        </w:rPr>
        <w:t>participated in</w:t>
      </w:r>
      <w:r w:rsidRPr="00921560">
        <w:rPr>
          <w:rFonts w:cs="Arial"/>
        </w:rPr>
        <w:t xml:space="preserve"> the survey in the first quarter of 2015/16, the results of which were included in the summer 2015 publication, “Protecting the English Public Purse 2015”</w:t>
      </w:r>
      <w:r w:rsidR="00603267" w:rsidRPr="00921560">
        <w:rPr>
          <w:rFonts w:cs="Arial"/>
        </w:rPr>
        <w:t xml:space="preserve">, which summarised the responses from all local authority fraud teams who </w:t>
      </w:r>
      <w:r w:rsidR="00921560" w:rsidRPr="00921560">
        <w:rPr>
          <w:rFonts w:cs="Arial"/>
        </w:rPr>
        <w:t xml:space="preserve">took part. </w:t>
      </w:r>
      <w:r w:rsidR="00921560">
        <w:rPr>
          <w:rFonts w:cs="Arial"/>
        </w:rPr>
        <w:t>TEICCAF have recently provided a Fraud Briefing for Oxford City Council as an additional to the main survey results</w:t>
      </w:r>
      <w:r w:rsidR="001D76DE">
        <w:rPr>
          <w:rFonts w:cs="Arial"/>
        </w:rPr>
        <w:t>. The briefing</w:t>
      </w:r>
      <w:r w:rsidR="00921560">
        <w:rPr>
          <w:rFonts w:cs="Arial"/>
        </w:rPr>
        <w:t xml:space="preserve"> shows </w:t>
      </w:r>
      <w:r w:rsidR="001D76DE">
        <w:rPr>
          <w:rFonts w:cs="Arial"/>
        </w:rPr>
        <w:t>activity comparisons with other district councils across the south of England that took part in the voluntary survey</w:t>
      </w:r>
      <w:r w:rsidR="00921560">
        <w:rPr>
          <w:rFonts w:cs="Arial"/>
        </w:rPr>
        <w:t xml:space="preserve">. The Fraud Briefing is included at </w:t>
      </w:r>
      <w:r w:rsidR="00921560" w:rsidRPr="00921560">
        <w:rPr>
          <w:rFonts w:cs="Arial"/>
          <w:b/>
        </w:rPr>
        <w:t>Appendix 2</w:t>
      </w:r>
      <w:r w:rsidR="00921560">
        <w:rPr>
          <w:rFonts w:cs="Arial"/>
        </w:rPr>
        <w:t>.</w:t>
      </w:r>
    </w:p>
    <w:p w:rsidR="00921560" w:rsidRPr="00921560" w:rsidRDefault="00921560" w:rsidP="00921560">
      <w:pPr>
        <w:pStyle w:val="ListParagraph"/>
        <w:rPr>
          <w:rFonts w:cs="Arial"/>
          <w:b/>
        </w:rPr>
      </w:pPr>
    </w:p>
    <w:p w:rsidR="00921560" w:rsidRPr="00921560" w:rsidRDefault="001D76DE" w:rsidP="00D24B20">
      <w:pPr>
        <w:pStyle w:val="ListParagraph"/>
        <w:numPr>
          <w:ilvl w:val="0"/>
          <w:numId w:val="2"/>
        </w:numPr>
        <w:rPr>
          <w:rFonts w:cs="Arial"/>
          <w:b/>
        </w:rPr>
      </w:pPr>
      <w:r>
        <w:rPr>
          <w:rFonts w:cs="Arial"/>
        </w:rPr>
        <w:lastRenderedPageBreak/>
        <w:t xml:space="preserve">The Fraud Briefing identifies Oxford City Council as one of the top performing authorities for tackling fraud and corruption. It relates to the final year when the team had responsibility for investigating Housing Benefit fraud. Since the transfer of this function to the Single Fraud Investigation Service in February 2015, the focus of the team has shifted significantly </w:t>
      </w:r>
      <w:r w:rsidR="002C1A19">
        <w:rPr>
          <w:rFonts w:cs="Arial"/>
        </w:rPr>
        <w:t xml:space="preserve">to </w:t>
      </w:r>
      <w:r>
        <w:rPr>
          <w:rFonts w:cs="Arial"/>
        </w:rPr>
        <w:t>tackling fraud in other service areas and providing services to external partners. It is anticipated that Oxford will rank highly in the 2016 survey.</w:t>
      </w:r>
    </w:p>
    <w:p w:rsidR="004B68AE" w:rsidRDefault="004B68AE" w:rsidP="004B68AE">
      <w:pPr>
        <w:ind w:firstLine="360"/>
        <w:rPr>
          <w:rFonts w:cs="Arial"/>
          <w:b/>
        </w:rPr>
      </w:pPr>
    </w:p>
    <w:p w:rsidR="00302A89" w:rsidRDefault="005F7ECB" w:rsidP="003D7522">
      <w:pPr>
        <w:pStyle w:val="ListParagraph"/>
        <w:ind w:hanging="294"/>
        <w:rPr>
          <w:rFonts w:cs="Arial"/>
          <w:b/>
        </w:rPr>
      </w:pPr>
      <w:r w:rsidRPr="003D7522">
        <w:rPr>
          <w:rFonts w:cs="Arial"/>
          <w:b/>
        </w:rPr>
        <w:t xml:space="preserve">Legal </w:t>
      </w:r>
      <w:r w:rsidR="007F2EA3">
        <w:rPr>
          <w:rFonts w:cs="Arial"/>
          <w:b/>
        </w:rPr>
        <w:t>Issues</w:t>
      </w:r>
    </w:p>
    <w:p w:rsidR="007F2EA3" w:rsidRPr="003D7522" w:rsidRDefault="007F2EA3" w:rsidP="003D7522">
      <w:pPr>
        <w:pStyle w:val="ListParagraph"/>
        <w:ind w:hanging="294"/>
        <w:rPr>
          <w:rFonts w:cs="Arial"/>
          <w:b/>
        </w:rPr>
      </w:pPr>
    </w:p>
    <w:p w:rsidR="00492497" w:rsidRDefault="00492497" w:rsidP="00E35866">
      <w:pPr>
        <w:pStyle w:val="ListParagraph"/>
        <w:numPr>
          <w:ilvl w:val="0"/>
          <w:numId w:val="2"/>
        </w:numPr>
        <w:rPr>
          <w:rFonts w:cs="Arial"/>
        </w:rPr>
      </w:pPr>
      <w:r w:rsidRPr="00E35866">
        <w:rPr>
          <w:rFonts w:cs="Arial"/>
        </w:rPr>
        <w:t xml:space="preserve">The continuing work of the Investigation </w:t>
      </w:r>
      <w:r w:rsidR="0075252D" w:rsidRPr="00E35866">
        <w:rPr>
          <w:rFonts w:cs="Arial"/>
        </w:rPr>
        <w:t>Team</w:t>
      </w:r>
      <w:r w:rsidRPr="00E35866">
        <w:rPr>
          <w:rFonts w:cs="Arial"/>
        </w:rPr>
        <w:t xml:space="preserve">, coupled with the Council’s Avoiding Bribery, Fraud and Corruption, Whistle </w:t>
      </w:r>
      <w:r w:rsidR="0075252D" w:rsidRPr="00E35866">
        <w:rPr>
          <w:rFonts w:cs="Arial"/>
        </w:rPr>
        <w:t>B</w:t>
      </w:r>
      <w:r w:rsidRPr="00E35866">
        <w:rPr>
          <w:rFonts w:cs="Arial"/>
        </w:rPr>
        <w:t>lowing and Money Laundering policies and procedures</w:t>
      </w:r>
      <w:r w:rsidRPr="00E35866">
        <w:rPr>
          <w:rFonts w:cs="Arial"/>
          <w:b/>
        </w:rPr>
        <w:t xml:space="preserve"> </w:t>
      </w:r>
      <w:r w:rsidRPr="00E35866">
        <w:rPr>
          <w:rFonts w:cs="Arial"/>
        </w:rPr>
        <w:t>give assurance that the Authority is compliant with the Bribery Act 2010, the Money Laundering Regulations 2007 and the Proceeds of Crime Act 2002. Failure to adhere to the Policies would impact on the legal and reputational risk to the Council.</w:t>
      </w:r>
      <w:r w:rsidR="00785D6D">
        <w:rPr>
          <w:rFonts w:cs="Arial"/>
        </w:rPr>
        <w:t xml:space="preserve"> </w:t>
      </w:r>
    </w:p>
    <w:p w:rsidR="00B341A7" w:rsidRDefault="00B341A7" w:rsidP="00785D6D">
      <w:pPr>
        <w:rPr>
          <w:rFonts w:cs="Arial"/>
        </w:rPr>
      </w:pPr>
    </w:p>
    <w:p w:rsidR="00785D6D" w:rsidRDefault="00785D6D" w:rsidP="00785D6D">
      <w:pPr>
        <w:pStyle w:val="ListParagraph"/>
        <w:numPr>
          <w:ilvl w:val="0"/>
          <w:numId w:val="2"/>
        </w:numPr>
        <w:rPr>
          <w:rFonts w:cs="Arial"/>
        </w:rPr>
      </w:pPr>
      <w:r>
        <w:rPr>
          <w:rFonts w:cs="Arial"/>
        </w:rPr>
        <w:t xml:space="preserve"> All data sharing </w:t>
      </w:r>
      <w:r w:rsidR="0054789C">
        <w:rPr>
          <w:rFonts w:cs="Arial"/>
        </w:rPr>
        <w:t>both internally and externally is covered by Data Sharing Protocols and is conducted in the interests of prevention and detection of fraud, crime and other financial irregularity, as per the provisions of section 29 of the Data Protection Act 1998.</w:t>
      </w:r>
    </w:p>
    <w:p w:rsidR="00640FDA" w:rsidRDefault="00640FDA" w:rsidP="00640FDA">
      <w:pPr>
        <w:rPr>
          <w:rFonts w:cs="Arial"/>
        </w:rPr>
      </w:pPr>
    </w:p>
    <w:p w:rsidR="00640FDA" w:rsidRPr="00640FDA" w:rsidRDefault="003203AD" w:rsidP="00640FDA">
      <w:pPr>
        <w:pStyle w:val="ListParagraph"/>
        <w:numPr>
          <w:ilvl w:val="0"/>
          <w:numId w:val="2"/>
        </w:numPr>
        <w:rPr>
          <w:rFonts w:cs="Arial"/>
        </w:rPr>
      </w:pPr>
      <w:r>
        <w:rPr>
          <w:rFonts w:cs="Arial"/>
        </w:rPr>
        <w:t>Business Agreements devised for joint working with other organisations have been reviewed and approved by Legal Services.</w:t>
      </w:r>
    </w:p>
    <w:p w:rsidR="00694F2E" w:rsidRDefault="00694F2E">
      <w:pPr>
        <w:rPr>
          <w:rFonts w:cs="Arial"/>
          <w:i/>
        </w:rPr>
      </w:pPr>
    </w:p>
    <w:p w:rsidR="007B6E54" w:rsidRDefault="00115173">
      <w:pPr>
        <w:rPr>
          <w:rFonts w:cs="Arial"/>
          <w:b/>
        </w:rPr>
      </w:pPr>
      <w:r>
        <w:rPr>
          <w:rFonts w:cs="Arial"/>
          <w:b/>
        </w:rPr>
        <w:t xml:space="preserve">      </w:t>
      </w:r>
      <w:r w:rsidR="006109E8">
        <w:rPr>
          <w:rFonts w:cs="Arial"/>
          <w:b/>
        </w:rPr>
        <w:t>Fi</w:t>
      </w:r>
      <w:r w:rsidR="007B6E54" w:rsidRPr="007B6E54">
        <w:rPr>
          <w:rFonts w:cs="Arial"/>
          <w:b/>
        </w:rPr>
        <w:t>nancial I</w:t>
      </w:r>
      <w:r w:rsidR="007F2EA3">
        <w:rPr>
          <w:rFonts w:cs="Arial"/>
          <w:b/>
        </w:rPr>
        <w:t>ssues</w:t>
      </w:r>
    </w:p>
    <w:p w:rsidR="00302A89" w:rsidRDefault="00302A89">
      <w:pPr>
        <w:rPr>
          <w:rFonts w:cs="Arial"/>
          <w:b/>
        </w:rPr>
      </w:pPr>
    </w:p>
    <w:p w:rsidR="005512A2" w:rsidRPr="00350F3A" w:rsidRDefault="006109E8" w:rsidP="00E35866">
      <w:pPr>
        <w:pStyle w:val="ListParagraph"/>
        <w:numPr>
          <w:ilvl w:val="0"/>
          <w:numId w:val="2"/>
        </w:numPr>
        <w:rPr>
          <w:rFonts w:cs="Arial"/>
          <w:b/>
        </w:rPr>
      </w:pPr>
      <w:r w:rsidRPr="00350F3A">
        <w:rPr>
          <w:rFonts w:cs="Arial"/>
        </w:rPr>
        <w:t xml:space="preserve">The budgeted net cost of the team excluding income from the Housing Revenue Account is </w:t>
      </w:r>
      <w:r w:rsidR="007D3155" w:rsidRPr="00350F3A">
        <w:rPr>
          <w:rFonts w:cs="Arial"/>
        </w:rPr>
        <w:t xml:space="preserve">£220,370 </w:t>
      </w:r>
      <w:r w:rsidRPr="00350F3A">
        <w:rPr>
          <w:rFonts w:cs="Arial"/>
        </w:rPr>
        <w:t xml:space="preserve">for 2015/16 and the team are charged with </w:t>
      </w:r>
      <w:r w:rsidR="00F07FC9">
        <w:rPr>
          <w:rFonts w:cs="Arial"/>
        </w:rPr>
        <w:t>identifying error and loss</w:t>
      </w:r>
      <w:r w:rsidRPr="00350F3A">
        <w:rPr>
          <w:rFonts w:cs="Arial"/>
        </w:rPr>
        <w:t xml:space="preserve"> to</w:t>
      </w:r>
      <w:r w:rsidR="00350F3A">
        <w:rPr>
          <w:rFonts w:cs="Arial"/>
        </w:rPr>
        <w:t xml:space="preserve"> </w:t>
      </w:r>
      <w:r w:rsidRPr="00350F3A">
        <w:rPr>
          <w:rFonts w:cs="Arial"/>
        </w:rPr>
        <w:t>recover these costs as an indication of value for money.</w:t>
      </w:r>
      <w:r w:rsidR="00CC54B4" w:rsidRPr="00350F3A">
        <w:rPr>
          <w:rFonts w:cs="Arial"/>
        </w:rPr>
        <w:t xml:space="preserve"> </w:t>
      </w:r>
      <w:r w:rsidR="00350F3A">
        <w:rPr>
          <w:rFonts w:cs="Arial"/>
        </w:rPr>
        <w:t xml:space="preserve">The </w:t>
      </w:r>
      <w:r w:rsidR="00F07FC9">
        <w:rPr>
          <w:rFonts w:cs="Arial"/>
        </w:rPr>
        <w:t>T</w:t>
      </w:r>
      <w:r w:rsidR="00350F3A">
        <w:rPr>
          <w:rFonts w:cs="Arial"/>
        </w:rPr>
        <w:t xml:space="preserve">eam </w:t>
      </w:r>
      <w:r w:rsidR="0069448D">
        <w:rPr>
          <w:rFonts w:cs="Arial"/>
        </w:rPr>
        <w:t xml:space="preserve">has identified cashable income of £547,109 and has prevented losses of £2,790,053. It is expected that by the end of the </w:t>
      </w:r>
      <w:r w:rsidR="0085571A">
        <w:rPr>
          <w:rFonts w:cs="Arial"/>
        </w:rPr>
        <w:t>financial year, the team will have generated income of over £600,000 and made savings of over £3,000,000.</w:t>
      </w:r>
    </w:p>
    <w:p w:rsidR="00324DA2" w:rsidRDefault="00324DA2">
      <w:pPr>
        <w:rPr>
          <w:rFonts w:cs="Arial"/>
          <w:b/>
        </w:rPr>
      </w:pPr>
    </w:p>
    <w:p w:rsidR="007B6E54" w:rsidRDefault="00115173">
      <w:pPr>
        <w:rPr>
          <w:rFonts w:cs="Arial"/>
          <w:b/>
        </w:rPr>
      </w:pPr>
      <w:r>
        <w:rPr>
          <w:rFonts w:cs="Arial"/>
          <w:b/>
        </w:rPr>
        <w:t xml:space="preserve">      </w:t>
      </w:r>
      <w:r w:rsidR="007B6E54">
        <w:rPr>
          <w:rFonts w:cs="Arial"/>
          <w:b/>
        </w:rPr>
        <w:t>Environmental Impact</w:t>
      </w:r>
    </w:p>
    <w:p w:rsidR="007B6E54" w:rsidRDefault="007B6E54">
      <w:pPr>
        <w:rPr>
          <w:rFonts w:cs="Arial"/>
          <w:b/>
        </w:rPr>
      </w:pPr>
    </w:p>
    <w:p w:rsidR="007B6E54" w:rsidRDefault="0093585C" w:rsidP="00E35866">
      <w:pPr>
        <w:pStyle w:val="ListParagraph"/>
        <w:numPr>
          <w:ilvl w:val="0"/>
          <w:numId w:val="2"/>
        </w:numPr>
        <w:rPr>
          <w:rFonts w:cs="Arial"/>
        </w:rPr>
      </w:pPr>
      <w:r w:rsidRPr="00B65FC8">
        <w:rPr>
          <w:rFonts w:cs="Arial"/>
        </w:rPr>
        <w:t xml:space="preserve">The majority of visits undertaken by staff </w:t>
      </w:r>
      <w:r w:rsidR="00F07FC9">
        <w:rPr>
          <w:rFonts w:cs="Arial"/>
        </w:rPr>
        <w:t>i</w:t>
      </w:r>
      <w:r w:rsidRPr="00B65FC8">
        <w:rPr>
          <w:rFonts w:cs="Arial"/>
        </w:rPr>
        <w:t xml:space="preserve">n the </w:t>
      </w:r>
      <w:r w:rsidR="00F07FC9">
        <w:rPr>
          <w:rFonts w:cs="Arial"/>
        </w:rPr>
        <w:t>T</w:t>
      </w:r>
      <w:r w:rsidRPr="00B65FC8">
        <w:rPr>
          <w:rFonts w:cs="Arial"/>
        </w:rPr>
        <w:t xml:space="preserve">eam are done using the Council pool vehicles. All staff </w:t>
      </w:r>
      <w:proofErr w:type="gramStart"/>
      <w:r w:rsidRPr="00B65FC8">
        <w:rPr>
          <w:rFonts w:cs="Arial"/>
        </w:rPr>
        <w:t>are</w:t>
      </w:r>
      <w:proofErr w:type="gramEnd"/>
      <w:r w:rsidRPr="00B65FC8">
        <w:rPr>
          <w:rFonts w:cs="Arial"/>
        </w:rPr>
        <w:t xml:space="preserve"> </w:t>
      </w:r>
      <w:r w:rsidR="00106937">
        <w:rPr>
          <w:rFonts w:cs="Arial"/>
        </w:rPr>
        <w:t>conscious of the environmental implications of service delivery and will always seek the low</w:t>
      </w:r>
      <w:r w:rsidR="00402823">
        <w:rPr>
          <w:rFonts w:cs="Arial"/>
        </w:rPr>
        <w:t>est impact route where possible.</w:t>
      </w:r>
    </w:p>
    <w:p w:rsidR="00E35866" w:rsidRDefault="00E35866" w:rsidP="00E35866">
      <w:pPr>
        <w:rPr>
          <w:rFonts w:cs="Arial"/>
        </w:rPr>
      </w:pPr>
    </w:p>
    <w:p w:rsidR="007F2EA3" w:rsidRDefault="007F2EA3" w:rsidP="007F2EA3">
      <w:pPr>
        <w:ind w:left="360"/>
        <w:rPr>
          <w:rFonts w:cs="Arial"/>
          <w:b/>
        </w:rPr>
      </w:pPr>
      <w:r>
        <w:rPr>
          <w:rFonts w:cs="Arial"/>
          <w:b/>
        </w:rPr>
        <w:t>Level of Risk</w:t>
      </w:r>
    </w:p>
    <w:p w:rsidR="007F2EA3" w:rsidRDefault="007F2EA3" w:rsidP="007F2EA3">
      <w:pPr>
        <w:rPr>
          <w:rFonts w:cs="Arial"/>
          <w:b/>
        </w:rPr>
      </w:pPr>
    </w:p>
    <w:p w:rsidR="007F2EA3" w:rsidRPr="00B65FC8" w:rsidRDefault="007F2EA3" w:rsidP="007F2EA3">
      <w:pPr>
        <w:pStyle w:val="ListParagraph"/>
        <w:numPr>
          <w:ilvl w:val="0"/>
          <w:numId w:val="2"/>
        </w:numPr>
        <w:rPr>
          <w:rFonts w:cs="Arial"/>
        </w:rPr>
      </w:pPr>
      <w:r w:rsidRPr="00B65FC8">
        <w:rPr>
          <w:rFonts w:cs="Arial"/>
        </w:rPr>
        <w:t>The risk of fraud both from within the Council</w:t>
      </w:r>
      <w:r>
        <w:rPr>
          <w:rFonts w:cs="Arial"/>
        </w:rPr>
        <w:t>’</w:t>
      </w:r>
      <w:r w:rsidRPr="00B65FC8">
        <w:rPr>
          <w:rFonts w:cs="Arial"/>
        </w:rPr>
        <w:t>s business and impacting on the Council</w:t>
      </w:r>
      <w:r>
        <w:rPr>
          <w:rFonts w:cs="Arial"/>
        </w:rPr>
        <w:t>’</w:t>
      </w:r>
      <w:r w:rsidRPr="00B65FC8">
        <w:rPr>
          <w:rFonts w:cs="Arial"/>
        </w:rPr>
        <w:t>s business may be significant. The maintaining of a fraud investigation resource act</w:t>
      </w:r>
      <w:r>
        <w:rPr>
          <w:rFonts w:cs="Arial"/>
        </w:rPr>
        <w:t>s</w:t>
      </w:r>
      <w:r w:rsidRPr="00B65FC8">
        <w:rPr>
          <w:rFonts w:cs="Arial"/>
        </w:rPr>
        <w:t xml:space="preserve"> as a deterrent to fraudulent activity and the saving; both cashable and non-cashable </w:t>
      </w:r>
      <w:r>
        <w:rPr>
          <w:rFonts w:cs="Arial"/>
        </w:rPr>
        <w:t xml:space="preserve">has </w:t>
      </w:r>
      <w:r w:rsidRPr="00B65FC8">
        <w:rPr>
          <w:rFonts w:cs="Arial"/>
        </w:rPr>
        <w:t>more than offset the cost of running the Investigating Team</w:t>
      </w:r>
      <w:r>
        <w:rPr>
          <w:rFonts w:cs="Arial"/>
        </w:rPr>
        <w:t>.</w:t>
      </w:r>
    </w:p>
    <w:p w:rsidR="00E35866" w:rsidRPr="00E35866" w:rsidRDefault="00E35866" w:rsidP="00E35866">
      <w:pPr>
        <w:rPr>
          <w:rFonts w:cs="Arial"/>
        </w:rPr>
      </w:pP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E55FA1" w:rsidP="00855C66">
            <w:pPr>
              <w:tabs>
                <w:tab w:val="left" w:pos="720"/>
                <w:tab w:val="left" w:pos="1440"/>
                <w:tab w:val="left" w:pos="2160"/>
                <w:tab w:val="left" w:pos="2880"/>
              </w:tabs>
            </w:pPr>
            <w:r>
              <w:t>Scott Warner</w:t>
            </w:r>
          </w:p>
        </w:tc>
      </w:tr>
      <w:tr w:rsidR="00713675">
        <w:tc>
          <w:tcPr>
            <w:tcW w:w="8522" w:type="dxa"/>
          </w:tcPr>
          <w:p w:rsidR="00713675" w:rsidRDefault="00E55FA1" w:rsidP="00855C66">
            <w:pPr>
              <w:tabs>
                <w:tab w:val="left" w:pos="720"/>
                <w:tab w:val="left" w:pos="1440"/>
                <w:tab w:val="left" w:pos="2160"/>
                <w:tab w:val="left" w:pos="2880"/>
              </w:tabs>
            </w:pPr>
            <w:r>
              <w:t>Investigations Manager</w:t>
            </w:r>
          </w:p>
        </w:tc>
      </w:tr>
      <w:tr w:rsidR="00713675">
        <w:tc>
          <w:tcPr>
            <w:tcW w:w="8522" w:type="dxa"/>
          </w:tcPr>
          <w:p w:rsidR="00713675" w:rsidRDefault="00DD3D8A" w:rsidP="00E55FA1">
            <w:pPr>
              <w:tabs>
                <w:tab w:val="left" w:pos="720"/>
                <w:tab w:val="left" w:pos="1440"/>
                <w:tab w:val="left" w:pos="2160"/>
                <w:tab w:val="left" w:pos="2880"/>
              </w:tabs>
            </w:pPr>
            <w:r>
              <w:t>Financial Services</w:t>
            </w:r>
            <w:r w:rsidR="00713675">
              <w:t xml:space="preserve"> / </w:t>
            </w:r>
            <w:r w:rsidR="00E55FA1">
              <w:t>Corporate Investigation Team</w:t>
            </w:r>
          </w:p>
        </w:tc>
      </w:tr>
      <w:tr w:rsidR="00713675">
        <w:tc>
          <w:tcPr>
            <w:tcW w:w="8522" w:type="dxa"/>
          </w:tcPr>
          <w:p w:rsidR="00713675" w:rsidRDefault="00713675" w:rsidP="00E55FA1">
            <w:pPr>
              <w:tabs>
                <w:tab w:val="left" w:pos="720"/>
                <w:tab w:val="left" w:pos="1440"/>
                <w:tab w:val="left" w:pos="2160"/>
                <w:tab w:val="left" w:pos="2880"/>
              </w:tabs>
              <w:rPr>
                <w:color w:val="0000FF"/>
                <w:u w:val="single"/>
              </w:rPr>
            </w:pPr>
            <w:r>
              <w:t xml:space="preserve">Tel:  01865 </w:t>
            </w:r>
            <w:r w:rsidR="00E55FA1">
              <w:t>252158</w:t>
            </w:r>
            <w:r>
              <w:t xml:space="preserve">  e-mail:  </w:t>
            </w:r>
            <w:r w:rsidR="00E55FA1">
              <w:t>swarner2@oxford.gov.uk</w:t>
            </w:r>
          </w:p>
        </w:tc>
      </w:tr>
    </w:tbl>
    <w:p w:rsidR="00F4367A" w:rsidRDefault="00F4367A" w:rsidP="00BF6592">
      <w:pPr>
        <w:rPr>
          <w:rFonts w:cs="Arial"/>
          <w:b/>
          <w:bCs/>
          <w:sz w:val="20"/>
        </w:rPr>
      </w:pPr>
    </w:p>
    <w:sectPr w:rsidR="00F4367A">
      <w:footerReference w:type="default" r:id="rId11"/>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DF4" w:rsidRDefault="00022DF4">
      <w:r>
        <w:separator/>
      </w:r>
    </w:p>
  </w:endnote>
  <w:endnote w:type="continuationSeparator" w:id="0">
    <w:p w:rsidR="00022DF4" w:rsidRDefault="0002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482027"/>
      <w:docPartObj>
        <w:docPartGallery w:val="Page Numbers (Bottom of Page)"/>
        <w:docPartUnique/>
      </w:docPartObj>
    </w:sdtPr>
    <w:sdtEndPr>
      <w:rPr>
        <w:noProof/>
      </w:rPr>
    </w:sdtEndPr>
    <w:sdtContent>
      <w:p w:rsidR="00036F46" w:rsidRDefault="00036F46">
        <w:pPr>
          <w:pStyle w:val="Footer"/>
          <w:jc w:val="right"/>
        </w:pPr>
        <w:r>
          <w:fldChar w:fldCharType="begin"/>
        </w:r>
        <w:r>
          <w:instrText xml:space="preserve"> PAGE   \* MERGEFORMAT </w:instrText>
        </w:r>
        <w:r>
          <w:fldChar w:fldCharType="separate"/>
        </w:r>
        <w:r w:rsidR="0088597E">
          <w:rPr>
            <w:noProof/>
          </w:rPr>
          <w:t>1</w:t>
        </w:r>
        <w:r>
          <w:rPr>
            <w:noProof/>
          </w:rPr>
          <w:fldChar w:fldCharType="end"/>
        </w:r>
      </w:p>
    </w:sdtContent>
  </w:sdt>
  <w:p w:rsidR="00036F46" w:rsidRDefault="00036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DF4" w:rsidRDefault="00022DF4">
      <w:r>
        <w:separator/>
      </w:r>
    </w:p>
  </w:footnote>
  <w:footnote w:type="continuationSeparator" w:id="0">
    <w:p w:rsidR="00022DF4" w:rsidRDefault="00022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24C2"/>
    <w:multiLevelType w:val="hybridMultilevel"/>
    <w:tmpl w:val="A97A31F8"/>
    <w:lvl w:ilvl="0" w:tplc="BB6A77C8">
      <w:start w:val="1"/>
      <w:numFmt w:val="decimal"/>
      <w:lvlText w:val="%1."/>
      <w:lvlJc w:val="left"/>
      <w:pPr>
        <w:ind w:left="360" w:hanging="360"/>
      </w:pPr>
      <w:rPr>
        <w:b w:val="0"/>
      </w:rPr>
    </w:lvl>
    <w:lvl w:ilvl="1" w:tplc="32D8D438">
      <w:start w:val="1"/>
      <w:numFmt w:val="lowerLetter"/>
      <w:lvlText w:val="%2."/>
      <w:lvlJc w:val="left"/>
      <w:pPr>
        <w:ind w:left="1080" w:hanging="360"/>
      </w:pPr>
      <w:rPr>
        <w:b w:val="0"/>
        <w:color w:val="auto"/>
      </w:rPr>
    </w:lvl>
    <w:lvl w:ilvl="2" w:tplc="CD886F06">
      <w:start w:val="1"/>
      <w:numFmt w:val="lowerLetter"/>
      <w:lvlText w:val="%3."/>
      <w:lvlJc w:val="left"/>
      <w:pPr>
        <w:ind w:left="1980" w:hanging="360"/>
      </w:pPr>
      <w:rPr>
        <w:rFonts w:hint="default"/>
        <w:b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6BD0744"/>
    <w:multiLevelType w:val="hybridMultilevel"/>
    <w:tmpl w:val="E8C68E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B605A1A"/>
    <w:multiLevelType w:val="hybridMultilevel"/>
    <w:tmpl w:val="4E78C9D8"/>
    <w:lvl w:ilvl="0" w:tplc="BB6A77C8">
      <w:start w:val="1"/>
      <w:numFmt w:val="decimal"/>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1487FF8"/>
    <w:multiLevelType w:val="hybridMultilevel"/>
    <w:tmpl w:val="C164CD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5BA164C"/>
    <w:multiLevelType w:val="hybridMultilevel"/>
    <w:tmpl w:val="320A0CDA"/>
    <w:lvl w:ilvl="0" w:tplc="BB6A77C8">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507CD3"/>
    <w:multiLevelType w:val="hybridMultilevel"/>
    <w:tmpl w:val="15EC5F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EF17ECE"/>
    <w:multiLevelType w:val="hybridMultilevel"/>
    <w:tmpl w:val="5BB0FD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5582374"/>
    <w:multiLevelType w:val="hybridMultilevel"/>
    <w:tmpl w:val="C2FE1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6A2962"/>
    <w:multiLevelType w:val="hybridMultilevel"/>
    <w:tmpl w:val="9FA87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8B46EC"/>
    <w:multiLevelType w:val="hybridMultilevel"/>
    <w:tmpl w:val="42EA8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4A52FF"/>
    <w:multiLevelType w:val="hybridMultilevel"/>
    <w:tmpl w:val="8B98F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500D39"/>
    <w:multiLevelType w:val="hybridMultilevel"/>
    <w:tmpl w:val="FB42D7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55392ABA"/>
    <w:multiLevelType w:val="hybridMultilevel"/>
    <w:tmpl w:val="B0AC44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7FB132E"/>
    <w:multiLevelType w:val="hybridMultilevel"/>
    <w:tmpl w:val="24ECCEF6"/>
    <w:lvl w:ilvl="0" w:tplc="BB6A77C8">
      <w:start w:val="1"/>
      <w:numFmt w:val="decimal"/>
      <w:lvlText w:val="%1."/>
      <w:lvlJc w:val="left"/>
      <w:pPr>
        <w:ind w:left="1140" w:hanging="360"/>
      </w:pPr>
      <w:rPr>
        <w:b w:val="0"/>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nsid w:val="5B9D627C"/>
    <w:multiLevelType w:val="hybridMultilevel"/>
    <w:tmpl w:val="0F2EC066"/>
    <w:lvl w:ilvl="0" w:tplc="CD886F06">
      <w:start w:val="1"/>
      <w:numFmt w:val="lowerLetter"/>
      <w:lvlText w:val="%1."/>
      <w:lvlJc w:val="left"/>
      <w:pPr>
        <w:ind w:left="108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EE9383F"/>
    <w:multiLevelType w:val="hybridMultilevel"/>
    <w:tmpl w:val="F470EC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FB659A6"/>
    <w:multiLevelType w:val="hybridMultilevel"/>
    <w:tmpl w:val="1ADCB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FFB3C57"/>
    <w:multiLevelType w:val="hybridMultilevel"/>
    <w:tmpl w:val="CA0010A6"/>
    <w:lvl w:ilvl="0" w:tplc="65165CC6">
      <w:start w:val="1"/>
      <w:numFmt w:val="decimal"/>
      <w:lvlText w:val="%1."/>
      <w:lvlJc w:val="left"/>
      <w:pPr>
        <w:ind w:left="786"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nsid w:val="724A529E"/>
    <w:multiLevelType w:val="hybridMultilevel"/>
    <w:tmpl w:val="93D02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2975843"/>
    <w:multiLevelType w:val="hybridMultilevel"/>
    <w:tmpl w:val="61E4D3A4"/>
    <w:lvl w:ilvl="0" w:tplc="BB6A77C8">
      <w:start w:val="1"/>
      <w:numFmt w:val="decimal"/>
      <w:lvlText w:val="%1."/>
      <w:lvlJc w:val="left"/>
      <w:pPr>
        <w:ind w:left="360" w:hanging="360"/>
      </w:pPr>
      <w:rPr>
        <w:b w:val="0"/>
      </w:rPr>
    </w:lvl>
    <w:lvl w:ilvl="1" w:tplc="32D8D438">
      <w:start w:val="1"/>
      <w:numFmt w:val="lowerLetter"/>
      <w:lvlText w:val="%2."/>
      <w:lvlJc w:val="left"/>
      <w:pPr>
        <w:ind w:left="1080" w:hanging="360"/>
      </w:pPr>
      <w:rPr>
        <w:b w:val="0"/>
        <w:color w:val="auto"/>
      </w:rPr>
    </w:lvl>
    <w:lvl w:ilvl="2" w:tplc="0809001B">
      <w:start w:val="1"/>
      <w:numFmt w:val="lowerRoman"/>
      <w:lvlText w:val="%3."/>
      <w:lvlJc w:val="right"/>
      <w:pPr>
        <w:ind w:left="1980" w:hanging="360"/>
      </w:pPr>
      <w:rPr>
        <w:rFonts w:hint="default"/>
        <w:b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6BA7F88"/>
    <w:multiLevelType w:val="hybridMultilevel"/>
    <w:tmpl w:val="A2AC34EC"/>
    <w:lvl w:ilvl="0" w:tplc="BB6A77C8">
      <w:start w:val="1"/>
      <w:numFmt w:val="decimal"/>
      <w:lvlText w:val="%1."/>
      <w:lvlJc w:val="left"/>
      <w:pPr>
        <w:ind w:left="732" w:hanging="360"/>
      </w:pPr>
      <w:rPr>
        <w:b w:val="0"/>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22">
    <w:nsid w:val="7AA554A6"/>
    <w:multiLevelType w:val="hybridMultilevel"/>
    <w:tmpl w:val="6C6CF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8"/>
  </w:num>
  <w:num w:numId="4">
    <w:abstractNumId w:val="12"/>
  </w:num>
  <w:num w:numId="5">
    <w:abstractNumId w:val="22"/>
  </w:num>
  <w:num w:numId="6">
    <w:abstractNumId w:val="19"/>
  </w:num>
  <w:num w:numId="7">
    <w:abstractNumId w:val="11"/>
  </w:num>
  <w:num w:numId="8">
    <w:abstractNumId w:val="9"/>
  </w:num>
  <w:num w:numId="9">
    <w:abstractNumId w:val="13"/>
  </w:num>
  <w:num w:numId="10">
    <w:abstractNumId w:val="8"/>
  </w:num>
  <w:num w:numId="11">
    <w:abstractNumId w:val="7"/>
  </w:num>
  <w:num w:numId="12">
    <w:abstractNumId w:val="5"/>
  </w:num>
  <w:num w:numId="13">
    <w:abstractNumId w:val="17"/>
  </w:num>
  <w:num w:numId="14">
    <w:abstractNumId w:val="3"/>
  </w:num>
  <w:num w:numId="15">
    <w:abstractNumId w:val="1"/>
  </w:num>
  <w:num w:numId="16">
    <w:abstractNumId w:val="2"/>
  </w:num>
  <w:num w:numId="17">
    <w:abstractNumId w:val="15"/>
  </w:num>
  <w:num w:numId="18">
    <w:abstractNumId w:val="14"/>
  </w:num>
  <w:num w:numId="19">
    <w:abstractNumId w:val="21"/>
  </w:num>
  <w:num w:numId="20">
    <w:abstractNumId w:val="20"/>
  </w:num>
  <w:num w:numId="21">
    <w:abstractNumId w:val="16"/>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39A5"/>
    <w:rsid w:val="00006D48"/>
    <w:rsid w:val="000131A8"/>
    <w:rsid w:val="00016121"/>
    <w:rsid w:val="000168F7"/>
    <w:rsid w:val="00022DF4"/>
    <w:rsid w:val="00026745"/>
    <w:rsid w:val="00030F54"/>
    <w:rsid w:val="00032229"/>
    <w:rsid w:val="00036F46"/>
    <w:rsid w:val="00054FBB"/>
    <w:rsid w:val="00056263"/>
    <w:rsid w:val="00061BBD"/>
    <w:rsid w:val="00083DAF"/>
    <w:rsid w:val="000952CD"/>
    <w:rsid w:val="000B234E"/>
    <w:rsid w:val="000B353D"/>
    <w:rsid w:val="000B6D93"/>
    <w:rsid w:val="000C3928"/>
    <w:rsid w:val="000D4BAE"/>
    <w:rsid w:val="000E3A8A"/>
    <w:rsid w:val="000E6B3C"/>
    <w:rsid w:val="000F6C67"/>
    <w:rsid w:val="001046A6"/>
    <w:rsid w:val="00106937"/>
    <w:rsid w:val="00115173"/>
    <w:rsid w:val="00123F3B"/>
    <w:rsid w:val="001309C9"/>
    <w:rsid w:val="0013241E"/>
    <w:rsid w:val="00140080"/>
    <w:rsid w:val="00165AB5"/>
    <w:rsid w:val="001660D3"/>
    <w:rsid w:val="0017091A"/>
    <w:rsid w:val="00172E8A"/>
    <w:rsid w:val="00173F5F"/>
    <w:rsid w:val="001744A4"/>
    <w:rsid w:val="001850B6"/>
    <w:rsid w:val="00187847"/>
    <w:rsid w:val="001878F4"/>
    <w:rsid w:val="001974C0"/>
    <w:rsid w:val="001B2B99"/>
    <w:rsid w:val="001C2BEE"/>
    <w:rsid w:val="001D5732"/>
    <w:rsid w:val="001D76DE"/>
    <w:rsid w:val="001E6847"/>
    <w:rsid w:val="00201566"/>
    <w:rsid w:val="002133FC"/>
    <w:rsid w:val="0021614D"/>
    <w:rsid w:val="00225E90"/>
    <w:rsid w:val="002313E2"/>
    <w:rsid w:val="00235785"/>
    <w:rsid w:val="002513A0"/>
    <w:rsid w:val="00257142"/>
    <w:rsid w:val="002617EF"/>
    <w:rsid w:val="00262002"/>
    <w:rsid w:val="00274BC1"/>
    <w:rsid w:val="0027761A"/>
    <w:rsid w:val="00283DE0"/>
    <w:rsid w:val="00285BDB"/>
    <w:rsid w:val="00297E04"/>
    <w:rsid w:val="002A48DC"/>
    <w:rsid w:val="002C1A19"/>
    <w:rsid w:val="002D3D47"/>
    <w:rsid w:val="002E0FC4"/>
    <w:rsid w:val="00302A89"/>
    <w:rsid w:val="003203AD"/>
    <w:rsid w:val="00324DA2"/>
    <w:rsid w:val="00350F3A"/>
    <w:rsid w:val="00364C98"/>
    <w:rsid w:val="00365ADB"/>
    <w:rsid w:val="003677F2"/>
    <w:rsid w:val="003A0019"/>
    <w:rsid w:val="003D2C71"/>
    <w:rsid w:val="003D7522"/>
    <w:rsid w:val="0040038D"/>
    <w:rsid w:val="00402823"/>
    <w:rsid w:val="00406728"/>
    <w:rsid w:val="00410548"/>
    <w:rsid w:val="00447892"/>
    <w:rsid w:val="00465EAF"/>
    <w:rsid w:val="0047428F"/>
    <w:rsid w:val="004761D2"/>
    <w:rsid w:val="00486F1C"/>
    <w:rsid w:val="004870FB"/>
    <w:rsid w:val="00491015"/>
    <w:rsid w:val="00492497"/>
    <w:rsid w:val="00493366"/>
    <w:rsid w:val="00495B9F"/>
    <w:rsid w:val="004A155C"/>
    <w:rsid w:val="004A414B"/>
    <w:rsid w:val="004A5164"/>
    <w:rsid w:val="004A6E19"/>
    <w:rsid w:val="004A77C5"/>
    <w:rsid w:val="004B20D8"/>
    <w:rsid w:val="004B33E2"/>
    <w:rsid w:val="004B68AE"/>
    <w:rsid w:val="004C5B6A"/>
    <w:rsid w:val="004C71E8"/>
    <w:rsid w:val="004E4791"/>
    <w:rsid w:val="00513ABE"/>
    <w:rsid w:val="00514C63"/>
    <w:rsid w:val="005162E8"/>
    <w:rsid w:val="00520D61"/>
    <w:rsid w:val="0052634D"/>
    <w:rsid w:val="005339D9"/>
    <w:rsid w:val="0054789C"/>
    <w:rsid w:val="005512A2"/>
    <w:rsid w:val="00563293"/>
    <w:rsid w:val="0056670B"/>
    <w:rsid w:val="00573FF8"/>
    <w:rsid w:val="00574FAA"/>
    <w:rsid w:val="0058032C"/>
    <w:rsid w:val="0058170A"/>
    <w:rsid w:val="00582513"/>
    <w:rsid w:val="005A73B0"/>
    <w:rsid w:val="005B678B"/>
    <w:rsid w:val="005B7A29"/>
    <w:rsid w:val="005C2014"/>
    <w:rsid w:val="005F7ECB"/>
    <w:rsid w:val="00603267"/>
    <w:rsid w:val="006109E8"/>
    <w:rsid w:val="00617287"/>
    <w:rsid w:val="00617E55"/>
    <w:rsid w:val="00623C2F"/>
    <w:rsid w:val="0064013D"/>
    <w:rsid w:val="00640FDA"/>
    <w:rsid w:val="00646FC7"/>
    <w:rsid w:val="00647D15"/>
    <w:rsid w:val="00654D52"/>
    <w:rsid w:val="00666AFD"/>
    <w:rsid w:val="0069448D"/>
    <w:rsid w:val="00694F2E"/>
    <w:rsid w:val="006E047C"/>
    <w:rsid w:val="006E1D47"/>
    <w:rsid w:val="006E3B55"/>
    <w:rsid w:val="006F416B"/>
    <w:rsid w:val="007076C3"/>
    <w:rsid w:val="007116E7"/>
    <w:rsid w:val="00713675"/>
    <w:rsid w:val="00733FED"/>
    <w:rsid w:val="00744526"/>
    <w:rsid w:val="0075252D"/>
    <w:rsid w:val="00753DFC"/>
    <w:rsid w:val="00763979"/>
    <w:rsid w:val="00764461"/>
    <w:rsid w:val="007665E5"/>
    <w:rsid w:val="00775048"/>
    <w:rsid w:val="007830B1"/>
    <w:rsid w:val="0078570D"/>
    <w:rsid w:val="00785D6D"/>
    <w:rsid w:val="007878F2"/>
    <w:rsid w:val="007A4803"/>
    <w:rsid w:val="007B6E54"/>
    <w:rsid w:val="007B7D9D"/>
    <w:rsid w:val="007D3155"/>
    <w:rsid w:val="007D5FAC"/>
    <w:rsid w:val="007F2AD3"/>
    <w:rsid w:val="007F2EA3"/>
    <w:rsid w:val="0080046D"/>
    <w:rsid w:val="00805BB0"/>
    <w:rsid w:val="0081180D"/>
    <w:rsid w:val="0082325F"/>
    <w:rsid w:val="00832739"/>
    <w:rsid w:val="0084231F"/>
    <w:rsid w:val="0085571A"/>
    <w:rsid w:val="00855C66"/>
    <w:rsid w:val="008602E6"/>
    <w:rsid w:val="00862AB0"/>
    <w:rsid w:val="008808C4"/>
    <w:rsid w:val="00884DB5"/>
    <w:rsid w:val="0088597E"/>
    <w:rsid w:val="008A4F30"/>
    <w:rsid w:val="008A548A"/>
    <w:rsid w:val="008D3DDB"/>
    <w:rsid w:val="008E422A"/>
    <w:rsid w:val="008E56BB"/>
    <w:rsid w:val="009117E1"/>
    <w:rsid w:val="009140B9"/>
    <w:rsid w:val="00921560"/>
    <w:rsid w:val="00933AA6"/>
    <w:rsid w:val="0093585C"/>
    <w:rsid w:val="00937057"/>
    <w:rsid w:val="00947567"/>
    <w:rsid w:val="00955477"/>
    <w:rsid w:val="00963CF5"/>
    <w:rsid w:val="00971689"/>
    <w:rsid w:val="00973E90"/>
    <w:rsid w:val="00992822"/>
    <w:rsid w:val="009A109A"/>
    <w:rsid w:val="009A5555"/>
    <w:rsid w:val="009C2E88"/>
    <w:rsid w:val="009D4B33"/>
    <w:rsid w:val="00A071B3"/>
    <w:rsid w:val="00A1002B"/>
    <w:rsid w:val="00A26F27"/>
    <w:rsid w:val="00A314C9"/>
    <w:rsid w:val="00A35036"/>
    <w:rsid w:val="00A52F2F"/>
    <w:rsid w:val="00A53031"/>
    <w:rsid w:val="00A63D9D"/>
    <w:rsid w:val="00A664AE"/>
    <w:rsid w:val="00A7547B"/>
    <w:rsid w:val="00A92D8F"/>
    <w:rsid w:val="00A977D4"/>
    <w:rsid w:val="00AA3834"/>
    <w:rsid w:val="00AB4D1C"/>
    <w:rsid w:val="00AC5264"/>
    <w:rsid w:val="00AD3292"/>
    <w:rsid w:val="00AD7E29"/>
    <w:rsid w:val="00AE11F0"/>
    <w:rsid w:val="00AE5AB8"/>
    <w:rsid w:val="00AF136A"/>
    <w:rsid w:val="00AF49E5"/>
    <w:rsid w:val="00AF557C"/>
    <w:rsid w:val="00B01F9E"/>
    <w:rsid w:val="00B115D7"/>
    <w:rsid w:val="00B14373"/>
    <w:rsid w:val="00B17810"/>
    <w:rsid w:val="00B341A7"/>
    <w:rsid w:val="00B34927"/>
    <w:rsid w:val="00B47F0E"/>
    <w:rsid w:val="00B54CB7"/>
    <w:rsid w:val="00B65022"/>
    <w:rsid w:val="00B65FC8"/>
    <w:rsid w:val="00B66F39"/>
    <w:rsid w:val="00B71216"/>
    <w:rsid w:val="00B72E63"/>
    <w:rsid w:val="00BA4032"/>
    <w:rsid w:val="00BC5B01"/>
    <w:rsid w:val="00BC7BE2"/>
    <w:rsid w:val="00BE30B1"/>
    <w:rsid w:val="00BE3490"/>
    <w:rsid w:val="00BE4419"/>
    <w:rsid w:val="00BE7F05"/>
    <w:rsid w:val="00BF4A91"/>
    <w:rsid w:val="00BF6592"/>
    <w:rsid w:val="00C10750"/>
    <w:rsid w:val="00C116C5"/>
    <w:rsid w:val="00C129E2"/>
    <w:rsid w:val="00C17C81"/>
    <w:rsid w:val="00C2692F"/>
    <w:rsid w:val="00C309D1"/>
    <w:rsid w:val="00C334BE"/>
    <w:rsid w:val="00C3462F"/>
    <w:rsid w:val="00C3490B"/>
    <w:rsid w:val="00C45EEB"/>
    <w:rsid w:val="00C61E57"/>
    <w:rsid w:val="00C81994"/>
    <w:rsid w:val="00CB5690"/>
    <w:rsid w:val="00CC3662"/>
    <w:rsid w:val="00CC54B4"/>
    <w:rsid w:val="00CD1191"/>
    <w:rsid w:val="00CF5527"/>
    <w:rsid w:val="00CF67F4"/>
    <w:rsid w:val="00D00019"/>
    <w:rsid w:val="00D0050D"/>
    <w:rsid w:val="00D01BD2"/>
    <w:rsid w:val="00D11169"/>
    <w:rsid w:val="00D122C6"/>
    <w:rsid w:val="00D14E57"/>
    <w:rsid w:val="00D171E2"/>
    <w:rsid w:val="00D24B20"/>
    <w:rsid w:val="00D4472E"/>
    <w:rsid w:val="00D52070"/>
    <w:rsid w:val="00D567E2"/>
    <w:rsid w:val="00D56BB0"/>
    <w:rsid w:val="00D637B1"/>
    <w:rsid w:val="00D71587"/>
    <w:rsid w:val="00D7284F"/>
    <w:rsid w:val="00DA0B0F"/>
    <w:rsid w:val="00DA1441"/>
    <w:rsid w:val="00DB3269"/>
    <w:rsid w:val="00DB5AE5"/>
    <w:rsid w:val="00DC598A"/>
    <w:rsid w:val="00DD3A1F"/>
    <w:rsid w:val="00DD3D8A"/>
    <w:rsid w:val="00DE5B61"/>
    <w:rsid w:val="00DE6CBD"/>
    <w:rsid w:val="00DE79DF"/>
    <w:rsid w:val="00DF7B52"/>
    <w:rsid w:val="00E01F42"/>
    <w:rsid w:val="00E17DD9"/>
    <w:rsid w:val="00E26E93"/>
    <w:rsid w:val="00E35866"/>
    <w:rsid w:val="00E37717"/>
    <w:rsid w:val="00E52F86"/>
    <w:rsid w:val="00E55FA1"/>
    <w:rsid w:val="00E67085"/>
    <w:rsid w:val="00E87C12"/>
    <w:rsid w:val="00E92623"/>
    <w:rsid w:val="00E96638"/>
    <w:rsid w:val="00EA0DB1"/>
    <w:rsid w:val="00EA2FDD"/>
    <w:rsid w:val="00EC5892"/>
    <w:rsid w:val="00EC6A09"/>
    <w:rsid w:val="00ED1932"/>
    <w:rsid w:val="00EE2E31"/>
    <w:rsid w:val="00EE4D96"/>
    <w:rsid w:val="00EE6A04"/>
    <w:rsid w:val="00EF0FF2"/>
    <w:rsid w:val="00F07FC9"/>
    <w:rsid w:val="00F21012"/>
    <w:rsid w:val="00F21D13"/>
    <w:rsid w:val="00F4367A"/>
    <w:rsid w:val="00F6212A"/>
    <w:rsid w:val="00F64311"/>
    <w:rsid w:val="00F65852"/>
    <w:rsid w:val="00F7606D"/>
    <w:rsid w:val="00FA624C"/>
    <w:rsid w:val="00FB70FE"/>
    <w:rsid w:val="00FD34CA"/>
    <w:rsid w:val="00FE3DC7"/>
    <w:rsid w:val="00FE5E85"/>
    <w:rsid w:val="00FE7AC5"/>
    <w:rsid w:val="00FF0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DA1441"/>
    <w:pPr>
      <w:ind w:left="720"/>
      <w:contextualSpacing/>
    </w:pPr>
  </w:style>
  <w:style w:type="character" w:customStyle="1" w:styleId="FooterChar">
    <w:name w:val="Footer Char"/>
    <w:basedOn w:val="DefaultParagraphFont"/>
    <w:link w:val="Footer"/>
    <w:uiPriority w:val="99"/>
    <w:rsid w:val="00036F46"/>
    <w:rPr>
      <w:rFonts w:ascii="Arial" w:hAnsi="Arial"/>
      <w:sz w:val="24"/>
      <w:szCs w:val="24"/>
      <w:lang w:eastAsia="en-US"/>
    </w:rPr>
  </w:style>
  <w:style w:type="table" w:styleId="TableGrid">
    <w:name w:val="Table Grid"/>
    <w:basedOn w:val="TableNormal"/>
    <w:rsid w:val="00A31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DA1441"/>
    <w:pPr>
      <w:ind w:left="720"/>
      <w:contextualSpacing/>
    </w:pPr>
  </w:style>
  <w:style w:type="character" w:customStyle="1" w:styleId="FooterChar">
    <w:name w:val="Footer Char"/>
    <w:basedOn w:val="DefaultParagraphFont"/>
    <w:link w:val="Footer"/>
    <w:uiPriority w:val="99"/>
    <w:rsid w:val="00036F46"/>
    <w:rPr>
      <w:rFonts w:ascii="Arial" w:hAnsi="Arial"/>
      <w:sz w:val="24"/>
      <w:szCs w:val="24"/>
      <w:lang w:eastAsia="en-US"/>
    </w:rPr>
  </w:style>
  <w:style w:type="table" w:styleId="TableGrid">
    <w:name w:val="Table Grid"/>
    <w:basedOn w:val="TableNormal"/>
    <w:rsid w:val="00A31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D4C22-66A7-4C08-8616-A48C6134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7AD37B61</Template>
  <TotalTime>16</TotalTime>
  <Pages>8</Pages>
  <Words>2018</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swarner2</cp:lastModifiedBy>
  <cp:revision>3</cp:revision>
  <cp:lastPrinted>2015-06-16T14:48:00Z</cp:lastPrinted>
  <dcterms:created xsi:type="dcterms:W3CDTF">2016-02-22T08:54:00Z</dcterms:created>
  <dcterms:modified xsi:type="dcterms:W3CDTF">2016-02-22T09:10:00Z</dcterms:modified>
</cp:coreProperties>
</file>